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9" w:type="dxa"/>
        <w:tblLayout w:type="fixed"/>
        <w:tblCellMar>
          <w:left w:w="71" w:type="dxa"/>
          <w:right w:w="71" w:type="dxa"/>
        </w:tblCellMar>
        <w:tblLook w:val="0000" w:firstRow="0" w:lastRow="0" w:firstColumn="0" w:lastColumn="0" w:noHBand="0" w:noVBand="0"/>
      </w:tblPr>
      <w:tblGrid>
        <w:gridCol w:w="1063"/>
        <w:gridCol w:w="568"/>
        <w:gridCol w:w="3118"/>
        <w:gridCol w:w="709"/>
        <w:gridCol w:w="142"/>
        <w:gridCol w:w="2693"/>
        <w:gridCol w:w="2126"/>
      </w:tblGrid>
      <w:tr w:rsidR="007105C5" w:rsidRPr="006C060B" w14:paraId="7030E80C" w14:textId="77777777" w:rsidTr="00177F7F">
        <w:tc>
          <w:tcPr>
            <w:tcW w:w="1631" w:type="dxa"/>
            <w:gridSpan w:val="2"/>
          </w:tcPr>
          <w:p w14:paraId="3D992948" w14:textId="77777777" w:rsidR="007105C5" w:rsidRPr="006C060B" w:rsidRDefault="007105C5" w:rsidP="001D7ED0">
            <w:pPr>
              <w:tabs>
                <w:tab w:val="left" w:pos="1276"/>
              </w:tabs>
              <w:spacing w:before="120" w:after="120"/>
              <w:rPr>
                <w:rFonts w:ascii="Arial" w:hAnsi="Arial" w:cs="Arial"/>
                <w:b/>
                <w:noProof/>
              </w:rPr>
            </w:pPr>
            <w:bookmarkStart w:id="0" w:name="Emetteur" w:colFirst="1" w:colLast="1"/>
            <w:bookmarkStart w:id="1" w:name="Projet" w:colFirst="3" w:colLast="3"/>
            <w:bookmarkStart w:id="2" w:name="Date" w:colFirst="5" w:colLast="5"/>
            <w:r w:rsidRPr="006C060B">
              <w:rPr>
                <w:rFonts w:ascii="Arial" w:hAnsi="Arial" w:cs="Arial"/>
                <w:b/>
              </w:rPr>
              <w:t>Emetteur</w:t>
            </w:r>
            <w:r w:rsidRPr="006C060B">
              <w:rPr>
                <w:rFonts w:ascii="Arial" w:hAnsi="Arial" w:cs="Arial"/>
                <w:b/>
                <w:noProof/>
              </w:rPr>
              <w:tab/>
              <w:t>:</w:t>
            </w:r>
          </w:p>
        </w:tc>
        <w:tc>
          <w:tcPr>
            <w:tcW w:w="3118" w:type="dxa"/>
          </w:tcPr>
          <w:p w14:paraId="37D178D0" w14:textId="325441D0" w:rsidR="007105C5" w:rsidRPr="006C060B" w:rsidRDefault="003D7159" w:rsidP="006C060B">
            <w:pPr>
              <w:tabs>
                <w:tab w:val="left" w:pos="474"/>
                <w:tab w:val="left" w:pos="1276"/>
              </w:tabs>
              <w:spacing w:before="120"/>
              <w:rPr>
                <w:rFonts w:ascii="Arial" w:hAnsi="Arial" w:cs="Arial"/>
                <w:b/>
                <w:noProof/>
              </w:rPr>
            </w:pPr>
            <w:r>
              <w:rPr>
                <w:rFonts w:ascii="Arial" w:hAnsi="Arial" w:cs="Arial"/>
                <w:b/>
                <w:noProof/>
              </w:rPr>
              <w:t>ECOSLOPS</w:t>
            </w:r>
          </w:p>
        </w:tc>
        <w:tc>
          <w:tcPr>
            <w:tcW w:w="851" w:type="dxa"/>
            <w:gridSpan w:val="2"/>
          </w:tcPr>
          <w:p w14:paraId="7A148C3D" w14:textId="77777777" w:rsidR="007105C5" w:rsidRPr="006C060B" w:rsidRDefault="007105C5" w:rsidP="001D7ED0">
            <w:pPr>
              <w:tabs>
                <w:tab w:val="left" w:pos="474"/>
                <w:tab w:val="left" w:pos="1276"/>
              </w:tabs>
              <w:spacing w:before="120" w:after="120"/>
              <w:rPr>
                <w:rFonts w:ascii="Arial" w:hAnsi="Arial" w:cs="Arial"/>
                <w:b/>
                <w:noProof/>
              </w:rPr>
            </w:pPr>
          </w:p>
        </w:tc>
        <w:tc>
          <w:tcPr>
            <w:tcW w:w="2693" w:type="dxa"/>
          </w:tcPr>
          <w:p w14:paraId="015507B6" w14:textId="1038EE75" w:rsidR="007105C5" w:rsidRPr="006C060B" w:rsidRDefault="007105C5" w:rsidP="007105C5">
            <w:pPr>
              <w:tabs>
                <w:tab w:val="left" w:pos="474"/>
                <w:tab w:val="left" w:pos="1276"/>
              </w:tabs>
              <w:spacing w:before="120" w:after="120"/>
              <w:jc w:val="right"/>
              <w:rPr>
                <w:rFonts w:ascii="Arial" w:hAnsi="Arial" w:cs="Arial"/>
                <w:b/>
                <w:noProof/>
              </w:rPr>
            </w:pPr>
          </w:p>
        </w:tc>
        <w:tc>
          <w:tcPr>
            <w:tcW w:w="2126" w:type="dxa"/>
          </w:tcPr>
          <w:p w14:paraId="361574DC" w14:textId="7386AA1C" w:rsidR="007105C5" w:rsidRPr="006C060B" w:rsidRDefault="007105C5" w:rsidP="00A701CA">
            <w:pPr>
              <w:tabs>
                <w:tab w:val="left" w:pos="474"/>
                <w:tab w:val="left" w:pos="1276"/>
              </w:tabs>
              <w:spacing w:before="120"/>
              <w:rPr>
                <w:rFonts w:ascii="Arial" w:hAnsi="Arial" w:cs="Arial"/>
                <w:b/>
                <w:caps/>
                <w:noProof/>
              </w:rPr>
            </w:pPr>
          </w:p>
        </w:tc>
      </w:tr>
      <w:tr w:rsidR="003D7159" w:rsidRPr="006C060B" w14:paraId="71BB921B" w14:textId="77777777" w:rsidTr="00177F7F">
        <w:trPr>
          <w:cantSplit/>
        </w:trPr>
        <w:tc>
          <w:tcPr>
            <w:tcW w:w="1631" w:type="dxa"/>
            <w:gridSpan w:val="2"/>
          </w:tcPr>
          <w:p w14:paraId="1F430EA5" w14:textId="7BC85E80" w:rsidR="003D7159" w:rsidRPr="006C060B" w:rsidRDefault="003D7159" w:rsidP="003D7159">
            <w:pPr>
              <w:tabs>
                <w:tab w:val="left" w:pos="1276"/>
              </w:tabs>
              <w:spacing w:before="120" w:after="120"/>
              <w:rPr>
                <w:rFonts w:ascii="Arial" w:hAnsi="Arial" w:cs="Arial"/>
                <w:b/>
                <w:noProof/>
              </w:rPr>
            </w:pPr>
            <w:bookmarkStart w:id="3" w:name="Action" w:colFirst="1" w:colLast="1"/>
            <w:bookmarkEnd w:id="0"/>
            <w:bookmarkEnd w:id="1"/>
            <w:bookmarkEnd w:id="2"/>
            <w:r w:rsidRPr="006C060B">
              <w:rPr>
                <w:rFonts w:ascii="Arial" w:hAnsi="Arial" w:cs="Arial"/>
                <w:b/>
                <w:noProof/>
              </w:rPr>
              <w:t>Date :</w:t>
            </w:r>
          </w:p>
        </w:tc>
        <w:tc>
          <w:tcPr>
            <w:tcW w:w="3827" w:type="dxa"/>
            <w:gridSpan w:val="2"/>
          </w:tcPr>
          <w:p w14:paraId="6A959433" w14:textId="50DE5FF1" w:rsidR="003D7159" w:rsidRPr="00B7630C" w:rsidRDefault="003D7159" w:rsidP="003D7159">
            <w:pPr>
              <w:tabs>
                <w:tab w:val="left" w:pos="1276"/>
              </w:tabs>
              <w:spacing w:before="120"/>
              <w:rPr>
                <w:rFonts w:ascii="Arial" w:hAnsi="Arial" w:cs="Arial"/>
                <w:b/>
                <w:noProof/>
              </w:rPr>
            </w:pPr>
            <w:r>
              <w:rPr>
                <w:rFonts w:ascii="Arial" w:hAnsi="Arial" w:cs="Arial"/>
                <w:b/>
                <w:caps/>
                <w:noProof/>
              </w:rPr>
              <w:t>13</w:t>
            </w:r>
            <w:r w:rsidRPr="006C060B">
              <w:rPr>
                <w:rFonts w:ascii="Arial" w:hAnsi="Arial" w:cs="Arial"/>
                <w:b/>
                <w:caps/>
                <w:noProof/>
              </w:rPr>
              <w:t>/</w:t>
            </w:r>
            <w:r>
              <w:rPr>
                <w:rFonts w:ascii="Arial" w:hAnsi="Arial" w:cs="Arial"/>
                <w:b/>
                <w:caps/>
                <w:noProof/>
              </w:rPr>
              <w:t>04</w:t>
            </w:r>
            <w:r w:rsidRPr="006C060B">
              <w:rPr>
                <w:rFonts w:ascii="Arial" w:hAnsi="Arial" w:cs="Arial"/>
                <w:b/>
                <w:caps/>
                <w:noProof/>
              </w:rPr>
              <w:t>/201</w:t>
            </w:r>
            <w:r>
              <w:rPr>
                <w:rFonts w:ascii="Arial" w:hAnsi="Arial" w:cs="Arial"/>
                <w:b/>
                <w:caps/>
                <w:noProof/>
              </w:rPr>
              <w:t>8</w:t>
            </w:r>
          </w:p>
        </w:tc>
        <w:tc>
          <w:tcPr>
            <w:tcW w:w="2835" w:type="dxa"/>
            <w:gridSpan w:val="2"/>
          </w:tcPr>
          <w:p w14:paraId="07635494" w14:textId="4C7EDDAC" w:rsidR="003D7159" w:rsidRPr="006C060B" w:rsidRDefault="003D7159" w:rsidP="003D7159">
            <w:pPr>
              <w:spacing w:before="120"/>
              <w:jc w:val="right"/>
              <w:rPr>
                <w:rFonts w:ascii="Arial" w:hAnsi="Arial" w:cs="Arial"/>
                <w:b/>
                <w:noProof/>
              </w:rPr>
            </w:pPr>
          </w:p>
        </w:tc>
        <w:tc>
          <w:tcPr>
            <w:tcW w:w="2126" w:type="dxa"/>
          </w:tcPr>
          <w:p w14:paraId="08B06266" w14:textId="7E137BBC" w:rsidR="003D7159" w:rsidRPr="006C060B" w:rsidRDefault="003D7159" w:rsidP="003D7159">
            <w:pPr>
              <w:tabs>
                <w:tab w:val="left" w:pos="873"/>
              </w:tabs>
              <w:spacing w:before="120"/>
              <w:rPr>
                <w:rFonts w:ascii="Arial" w:hAnsi="Arial" w:cs="Arial"/>
                <w:b/>
                <w:noProof/>
              </w:rPr>
            </w:pPr>
          </w:p>
        </w:tc>
      </w:tr>
      <w:tr w:rsidR="003D7159" w:rsidRPr="006C060B" w14:paraId="404F1C2B" w14:textId="77777777" w:rsidTr="00177F7F">
        <w:tblPrEx>
          <w:tblCellMar>
            <w:left w:w="70" w:type="dxa"/>
            <w:right w:w="70" w:type="dxa"/>
          </w:tblCellMar>
        </w:tblPrEx>
        <w:tc>
          <w:tcPr>
            <w:tcW w:w="1063" w:type="dxa"/>
          </w:tcPr>
          <w:p w14:paraId="455CE1B3" w14:textId="77777777" w:rsidR="003D7159" w:rsidRPr="006C060B" w:rsidRDefault="003D7159" w:rsidP="003D7159">
            <w:pPr>
              <w:tabs>
                <w:tab w:val="left" w:pos="794"/>
              </w:tabs>
              <w:spacing w:before="120" w:after="120"/>
              <w:rPr>
                <w:rFonts w:ascii="Arial" w:hAnsi="Arial" w:cs="Arial"/>
                <w:b/>
                <w:noProof/>
              </w:rPr>
            </w:pPr>
            <w:bookmarkStart w:id="4" w:name="Sujet" w:colFirst="1" w:colLast="1"/>
            <w:bookmarkEnd w:id="3"/>
            <w:r w:rsidRPr="006C060B">
              <w:rPr>
                <w:rFonts w:ascii="Arial" w:hAnsi="Arial" w:cs="Arial"/>
                <w:b/>
                <w:noProof/>
              </w:rPr>
              <w:t>Sujet</w:t>
            </w:r>
            <w:r w:rsidRPr="006C060B">
              <w:rPr>
                <w:rFonts w:ascii="Arial" w:hAnsi="Arial" w:cs="Arial"/>
                <w:b/>
                <w:noProof/>
              </w:rPr>
              <w:tab/>
              <w:t>:</w:t>
            </w:r>
          </w:p>
        </w:tc>
        <w:tc>
          <w:tcPr>
            <w:tcW w:w="9356" w:type="dxa"/>
            <w:gridSpan w:val="6"/>
          </w:tcPr>
          <w:p w14:paraId="174B56D6" w14:textId="01C43A1A" w:rsidR="003D7159" w:rsidRPr="006C060B" w:rsidRDefault="003D7159" w:rsidP="003D7159">
            <w:pPr>
              <w:spacing w:before="120"/>
              <w:jc w:val="both"/>
              <w:rPr>
                <w:rFonts w:ascii="Arial" w:hAnsi="Arial" w:cs="Arial"/>
                <w:b/>
                <w:noProof/>
              </w:rPr>
            </w:pPr>
            <w:r w:rsidRPr="006C060B">
              <w:rPr>
                <w:rFonts w:ascii="Arial" w:hAnsi="Arial" w:cs="Arial"/>
                <w:b/>
                <w:noProof/>
              </w:rPr>
              <w:t>Eléments de réponse à l’Avis du 5 avril 2018 de la Mission Régionale d’Autorité environnementale de Provence-Alpes-Côtes d’Azur sur l’unité de production de produits pétroliers à partir de slops déshydratés sur la commune de Châteauneuf-Les-Martigues</w:t>
            </w:r>
          </w:p>
        </w:tc>
      </w:tr>
      <w:bookmarkEnd w:id="4"/>
    </w:tbl>
    <w:p w14:paraId="35F881F3" w14:textId="77777777" w:rsidR="006439A5" w:rsidRPr="006C060B" w:rsidRDefault="006439A5" w:rsidP="00A95B31">
      <w:pPr>
        <w:pBdr>
          <w:bottom w:val="single" w:sz="12" w:space="1" w:color="auto"/>
        </w:pBdr>
        <w:jc w:val="both"/>
        <w:rPr>
          <w:rFonts w:ascii="Arial" w:hAnsi="Arial" w:cs="Arial"/>
        </w:rPr>
      </w:pPr>
    </w:p>
    <w:p w14:paraId="07A7B582" w14:textId="47EAFAF1" w:rsidR="00112076" w:rsidRPr="006C060B" w:rsidRDefault="00112076" w:rsidP="00177F7F">
      <w:pPr>
        <w:spacing w:before="200" w:line="276" w:lineRule="auto"/>
        <w:jc w:val="both"/>
        <w:rPr>
          <w:rFonts w:ascii="Arial" w:hAnsi="Arial" w:cs="Arial"/>
          <w:b/>
        </w:rPr>
      </w:pPr>
      <w:r w:rsidRPr="006C060B">
        <w:rPr>
          <w:rFonts w:ascii="Arial" w:hAnsi="Arial" w:cs="Arial"/>
          <w:b/>
        </w:rPr>
        <w:t>Introduction</w:t>
      </w:r>
    </w:p>
    <w:p w14:paraId="2D063955" w14:textId="2A7CDC8D" w:rsidR="00110151" w:rsidRPr="007C4F13" w:rsidRDefault="006D7AE9" w:rsidP="00177F7F">
      <w:pPr>
        <w:spacing w:before="200" w:line="276" w:lineRule="auto"/>
        <w:jc w:val="both"/>
        <w:rPr>
          <w:rFonts w:ascii="Arial" w:hAnsi="Arial" w:cs="Arial"/>
        </w:rPr>
      </w:pPr>
      <w:r w:rsidRPr="006C060B">
        <w:rPr>
          <w:rFonts w:ascii="Arial" w:hAnsi="Arial" w:cs="Arial"/>
        </w:rPr>
        <w:t xml:space="preserve">ECOSLOPS projette d’implanter au sein du site de la Plateforme de La Mède (TOTAL RAFFINAGE FRANCE), dans les Bouches-du-Rhône (13), </w:t>
      </w:r>
      <w:r w:rsidRPr="007C4F13">
        <w:rPr>
          <w:rFonts w:ascii="Arial" w:hAnsi="Arial" w:cs="Arial"/>
        </w:rPr>
        <w:t xml:space="preserve">une unité de production </w:t>
      </w:r>
      <w:r w:rsidR="005B128D" w:rsidRPr="007C4F13">
        <w:rPr>
          <w:rFonts w:ascii="Arial" w:hAnsi="Arial" w:cs="Arial"/>
        </w:rPr>
        <w:t xml:space="preserve">qui permet de raffiner indifféremment des pétroles bruts (non déchets) et des </w:t>
      </w:r>
      <w:proofErr w:type="spellStart"/>
      <w:r w:rsidR="005B128D" w:rsidRPr="007C4F13">
        <w:rPr>
          <w:rFonts w:ascii="Arial" w:hAnsi="Arial" w:cs="Arial"/>
        </w:rPr>
        <w:t>slops</w:t>
      </w:r>
      <w:proofErr w:type="spellEnd"/>
      <w:r w:rsidR="005B128D" w:rsidRPr="007C4F13">
        <w:rPr>
          <w:rFonts w:ascii="Arial" w:hAnsi="Arial" w:cs="Arial"/>
        </w:rPr>
        <w:t xml:space="preserve"> déshydratés (déchets), issus notamment du transport maritime. Les </w:t>
      </w:r>
      <w:proofErr w:type="spellStart"/>
      <w:r w:rsidR="005B128D" w:rsidRPr="007C4F13">
        <w:rPr>
          <w:rFonts w:ascii="Arial" w:hAnsi="Arial" w:cs="Arial"/>
        </w:rPr>
        <w:t>slops</w:t>
      </w:r>
      <w:proofErr w:type="spellEnd"/>
      <w:r w:rsidR="005B128D" w:rsidRPr="007C4F13">
        <w:rPr>
          <w:rFonts w:ascii="Arial" w:hAnsi="Arial" w:cs="Arial"/>
        </w:rPr>
        <w:t xml:space="preserve"> déshydratés sont utilisés en tant que charge de substitution du pétrole brut dans l’unité de production P2R. Les substances produites par l’unité P2R satisfont aux mêmes spécifications ; qu’elles soient obtenues à partir de pétrole brut ou de </w:t>
      </w:r>
      <w:proofErr w:type="spellStart"/>
      <w:r w:rsidR="005B128D" w:rsidRPr="007C4F13">
        <w:rPr>
          <w:rFonts w:ascii="Arial" w:hAnsi="Arial" w:cs="Arial"/>
        </w:rPr>
        <w:t>slops</w:t>
      </w:r>
      <w:proofErr w:type="spellEnd"/>
      <w:r w:rsidR="005B128D" w:rsidRPr="007C4F13">
        <w:rPr>
          <w:rFonts w:ascii="Arial" w:hAnsi="Arial" w:cs="Arial"/>
        </w:rPr>
        <w:t xml:space="preserve"> déshydratés. </w:t>
      </w:r>
      <w:r w:rsidR="00110151" w:rsidRPr="007C4F13">
        <w:rPr>
          <w:rFonts w:ascii="Arial" w:hAnsi="Arial" w:cs="Arial"/>
        </w:rPr>
        <w:t xml:space="preserve">Il s’agit soit de produits pétroliers standards sur spécifications (fioul lourd, bitume léger), </w:t>
      </w:r>
      <w:r w:rsidR="005425BA" w:rsidRPr="007C4F13">
        <w:rPr>
          <w:rFonts w:ascii="Arial" w:hAnsi="Arial" w:cs="Arial"/>
        </w:rPr>
        <w:t>soit de produits pétroliers int</w:t>
      </w:r>
      <w:r w:rsidR="00110151" w:rsidRPr="007C4F13">
        <w:rPr>
          <w:rFonts w:ascii="Arial" w:hAnsi="Arial" w:cs="Arial"/>
        </w:rPr>
        <w:t>ermédiaires classiquement vendus et achetés entre raffineries (</w:t>
      </w:r>
      <w:r w:rsidR="005425BA" w:rsidRPr="007C4F13">
        <w:rPr>
          <w:rFonts w:ascii="Arial" w:hAnsi="Arial" w:cs="Arial"/>
        </w:rPr>
        <w:t xml:space="preserve">essence légère, </w:t>
      </w:r>
      <w:r w:rsidR="00110151" w:rsidRPr="007C4F13">
        <w:rPr>
          <w:rFonts w:ascii="Arial" w:hAnsi="Arial" w:cs="Arial"/>
        </w:rPr>
        <w:t xml:space="preserve">naphta, gazole). </w:t>
      </w:r>
    </w:p>
    <w:p w14:paraId="6E90FC00" w14:textId="77777777" w:rsidR="0097254A" w:rsidRPr="007C4F13" w:rsidRDefault="00110151" w:rsidP="00177F7F">
      <w:pPr>
        <w:spacing w:before="200" w:line="276" w:lineRule="auto"/>
        <w:jc w:val="both"/>
        <w:rPr>
          <w:rFonts w:ascii="Arial" w:hAnsi="Arial" w:cs="Arial"/>
        </w:rPr>
      </w:pPr>
      <w:r w:rsidRPr="007C4F13">
        <w:rPr>
          <w:rFonts w:ascii="Arial" w:hAnsi="Arial" w:cs="Arial"/>
        </w:rPr>
        <w:t>Aussi, sur la base des conditions précisées dans la section « II – Statut juridique de ce qui est produit par une installation de production utilisant des déchets en substitution de matières premières » du texte 106 du 13 janvier 2016, « avis…aux exploitants d’installations de production utilisant des déchets en substitution de matières premières », un traitement dans l’unité P2R répond aux exigences de la sortie implicite du statut de déchet.</w:t>
      </w:r>
      <w:r w:rsidR="005425BA" w:rsidRPr="007C4F13">
        <w:rPr>
          <w:rFonts w:ascii="Arial" w:hAnsi="Arial" w:cs="Arial"/>
        </w:rPr>
        <w:t xml:space="preserve"> Toutes les substances produites par l’unité P2R sont des non déchets.</w:t>
      </w:r>
      <w:r w:rsidRPr="007C4F13">
        <w:rPr>
          <w:rFonts w:ascii="Arial" w:hAnsi="Arial" w:cs="Arial"/>
        </w:rPr>
        <w:t xml:space="preserve"> </w:t>
      </w:r>
    </w:p>
    <w:p w14:paraId="3EFEF944" w14:textId="77777777" w:rsidR="007C4F13" w:rsidRDefault="007C4F13" w:rsidP="00177F7F">
      <w:pPr>
        <w:spacing w:before="200" w:line="276" w:lineRule="auto"/>
        <w:jc w:val="both"/>
        <w:rPr>
          <w:rFonts w:ascii="Arial" w:hAnsi="Arial" w:cs="Arial"/>
        </w:rPr>
      </w:pPr>
    </w:p>
    <w:p w14:paraId="7AA59CDF" w14:textId="0346678B" w:rsidR="006D7AE9" w:rsidRPr="006C060B" w:rsidRDefault="006D7AE9" w:rsidP="00177F7F">
      <w:pPr>
        <w:spacing w:before="200" w:line="276" w:lineRule="auto"/>
        <w:jc w:val="both"/>
        <w:rPr>
          <w:rFonts w:ascii="Arial" w:hAnsi="Arial" w:cs="Arial"/>
        </w:rPr>
      </w:pPr>
      <w:r w:rsidRPr="006C060B">
        <w:rPr>
          <w:rFonts w:ascii="Arial" w:hAnsi="Arial" w:cs="Arial"/>
        </w:rPr>
        <w:t>Ce projet comprend principalement :</w:t>
      </w:r>
    </w:p>
    <w:p w14:paraId="3E801C16" w14:textId="77777777" w:rsidR="006D7AE9" w:rsidRPr="006C060B" w:rsidRDefault="006D7AE9" w:rsidP="00AB2071">
      <w:pPr>
        <w:pStyle w:val="PuceNiveau1"/>
      </w:pPr>
      <w:r w:rsidRPr="006C060B">
        <w:t xml:space="preserve">un stockage de </w:t>
      </w:r>
      <w:proofErr w:type="spellStart"/>
      <w:r w:rsidRPr="006C060B">
        <w:t>slops</w:t>
      </w:r>
      <w:proofErr w:type="spellEnd"/>
      <w:r w:rsidRPr="006C060B">
        <w:t xml:space="preserve"> déshydratés, constituant la charge du procédé ;</w:t>
      </w:r>
    </w:p>
    <w:p w14:paraId="53C2423F" w14:textId="77777777" w:rsidR="006D7AE9" w:rsidRPr="006C060B" w:rsidRDefault="006D7AE9" w:rsidP="00AB2071">
      <w:pPr>
        <w:pStyle w:val="PuceNiveau1"/>
      </w:pPr>
      <w:r w:rsidRPr="006C060B">
        <w:t xml:space="preserve">une unité « Petroleum </w:t>
      </w:r>
      <w:proofErr w:type="spellStart"/>
      <w:r w:rsidRPr="006C060B">
        <w:t>Residue</w:t>
      </w:r>
      <w:proofErr w:type="spellEnd"/>
      <w:r w:rsidRPr="006C060B">
        <w:t xml:space="preserve"> </w:t>
      </w:r>
      <w:proofErr w:type="spellStart"/>
      <w:r w:rsidRPr="006C060B">
        <w:t>Recycling</w:t>
      </w:r>
      <w:proofErr w:type="spellEnd"/>
      <w:r w:rsidRPr="006C060B">
        <w:t xml:space="preserve"> » (P2R), qui sera le cœur de la technologie ECOSLOPS. Le schéma de raffinage du P2R (micro-raffinage) est basé sur plusieurs distillations successives des </w:t>
      </w:r>
      <w:proofErr w:type="spellStart"/>
      <w:r w:rsidRPr="006C060B">
        <w:t>slops</w:t>
      </w:r>
      <w:proofErr w:type="spellEnd"/>
      <w:r w:rsidRPr="006C060B">
        <w:t xml:space="preserve"> déshydratés. Les substances commercialisables en sortie d’unité P2R sont des produits pétroliers standards sur spécifications (fioul lourd et bitume léger) ou des produits pétroliers intermédiaires (essence légère, naphta et gazole) ;</w:t>
      </w:r>
    </w:p>
    <w:p w14:paraId="5E7444F3" w14:textId="77777777" w:rsidR="006D7AE9" w:rsidRPr="006C060B" w:rsidRDefault="006D7AE9" w:rsidP="00AB2071">
      <w:pPr>
        <w:pStyle w:val="PuceNiveau1"/>
      </w:pPr>
      <w:r w:rsidRPr="006C060B">
        <w:t>un stockage des produits pétroliers finis.</w:t>
      </w:r>
    </w:p>
    <w:p w14:paraId="2D8604DB" w14:textId="1B5710BF" w:rsidR="006D7AE9" w:rsidRPr="006C060B" w:rsidRDefault="006D7AE9" w:rsidP="00177F7F">
      <w:pPr>
        <w:spacing w:before="200" w:line="276" w:lineRule="auto"/>
        <w:jc w:val="both"/>
        <w:rPr>
          <w:rFonts w:ascii="Arial" w:hAnsi="Arial" w:cs="Arial"/>
        </w:rPr>
      </w:pPr>
      <w:r w:rsidRPr="006C060B">
        <w:rPr>
          <w:rFonts w:ascii="Arial" w:hAnsi="Arial" w:cs="Arial"/>
        </w:rPr>
        <w:t>Il constitue une nouvelle Installation Classée pour la Protection de l'Environnement (ICPE), soumise à autorisation environnementale conformément à l’article L. 181-1 de la partie législative du Code de l’Environnement. En ce sens, ECOSLOPS a déposé le 20 septembre 2017, auprès du Préfet des Bouches-du-Rhône, un Dossier de Demande d'Autorisation Environnementale (DDAE)</w:t>
      </w:r>
      <w:r w:rsidR="006C060B">
        <w:rPr>
          <w:rFonts w:ascii="Arial" w:hAnsi="Arial" w:cs="Arial"/>
        </w:rPr>
        <w:t>.</w:t>
      </w:r>
    </w:p>
    <w:p w14:paraId="5E1EB69E" w14:textId="60290981" w:rsidR="006C060B" w:rsidRDefault="003E140B" w:rsidP="00177F7F">
      <w:pPr>
        <w:spacing w:before="200" w:line="276" w:lineRule="auto"/>
        <w:jc w:val="both"/>
        <w:rPr>
          <w:rFonts w:ascii="Arial" w:hAnsi="Arial" w:cs="Arial"/>
        </w:rPr>
      </w:pPr>
      <w:r w:rsidRPr="006C060B">
        <w:rPr>
          <w:rFonts w:ascii="Arial" w:hAnsi="Arial" w:cs="Arial"/>
        </w:rPr>
        <w:t xml:space="preserve">Dans le cadre </w:t>
      </w:r>
      <w:r w:rsidR="006C060B">
        <w:rPr>
          <w:rFonts w:ascii="Arial" w:hAnsi="Arial" w:cs="Arial"/>
        </w:rPr>
        <w:t xml:space="preserve">son </w:t>
      </w:r>
      <w:r w:rsidRPr="006C060B">
        <w:rPr>
          <w:rFonts w:ascii="Arial" w:hAnsi="Arial" w:cs="Arial"/>
        </w:rPr>
        <w:t>instruction</w:t>
      </w:r>
      <w:r w:rsidR="006C060B">
        <w:rPr>
          <w:rFonts w:ascii="Arial" w:hAnsi="Arial" w:cs="Arial"/>
        </w:rPr>
        <w:t>, le DDAE</w:t>
      </w:r>
      <w:r w:rsidR="00177F7F" w:rsidRPr="006C060B">
        <w:rPr>
          <w:rFonts w:ascii="Arial" w:hAnsi="Arial" w:cs="Arial"/>
        </w:rPr>
        <w:t xml:space="preserve"> a fait l’objet </w:t>
      </w:r>
      <w:r w:rsidR="006C060B">
        <w:rPr>
          <w:rFonts w:ascii="Arial" w:hAnsi="Arial" w:cs="Arial"/>
        </w:rPr>
        <w:t>d’un a</w:t>
      </w:r>
      <w:r w:rsidR="006C060B" w:rsidRPr="006C060B">
        <w:rPr>
          <w:rFonts w:ascii="Arial" w:hAnsi="Arial" w:cs="Arial"/>
        </w:rPr>
        <w:t xml:space="preserve">vis de la Mission Régionale d’Autorité environnementale de </w:t>
      </w:r>
      <w:proofErr w:type="spellStart"/>
      <w:r w:rsidR="006C060B" w:rsidRPr="006C060B">
        <w:rPr>
          <w:rFonts w:ascii="Arial" w:hAnsi="Arial" w:cs="Arial"/>
        </w:rPr>
        <w:t>Provence-Alpes-Côtes</w:t>
      </w:r>
      <w:proofErr w:type="spellEnd"/>
      <w:r w:rsidR="006C060B" w:rsidRPr="006C060B">
        <w:rPr>
          <w:rFonts w:ascii="Arial" w:hAnsi="Arial" w:cs="Arial"/>
        </w:rPr>
        <w:t xml:space="preserve"> d’Azur</w:t>
      </w:r>
      <w:r w:rsidR="006C060B">
        <w:rPr>
          <w:rFonts w:ascii="Arial" w:hAnsi="Arial" w:cs="Arial"/>
        </w:rPr>
        <w:t xml:space="preserve">, en date du </w:t>
      </w:r>
      <w:r w:rsidR="006C060B" w:rsidRPr="006C060B">
        <w:rPr>
          <w:rFonts w:ascii="Arial" w:hAnsi="Arial" w:cs="Arial"/>
        </w:rPr>
        <w:t>5 avril 2018</w:t>
      </w:r>
      <w:r w:rsidR="006C060B">
        <w:rPr>
          <w:rFonts w:ascii="Arial" w:hAnsi="Arial" w:cs="Arial"/>
        </w:rPr>
        <w:t xml:space="preserve">, comprenant </w:t>
      </w:r>
      <w:r w:rsidR="00FA77AD">
        <w:rPr>
          <w:rFonts w:ascii="Arial" w:hAnsi="Arial" w:cs="Arial"/>
        </w:rPr>
        <w:t>sept (7)</w:t>
      </w:r>
      <w:r w:rsidR="006C060B">
        <w:rPr>
          <w:rFonts w:ascii="Arial" w:hAnsi="Arial" w:cs="Arial"/>
        </w:rPr>
        <w:t xml:space="preserve"> recommandations afin de compléter/justifier certains éléments de l’étude d’impact et de l’étude de dangers.</w:t>
      </w:r>
    </w:p>
    <w:p w14:paraId="4233D803" w14:textId="6DCE575B" w:rsidR="00FA77AD" w:rsidRDefault="00FA77AD" w:rsidP="00177F7F">
      <w:pPr>
        <w:spacing w:before="200" w:line="276" w:lineRule="auto"/>
        <w:jc w:val="both"/>
        <w:rPr>
          <w:rFonts w:ascii="Arial" w:hAnsi="Arial" w:cs="Arial"/>
        </w:rPr>
      </w:pPr>
      <w:r>
        <w:rPr>
          <w:rFonts w:ascii="Arial" w:hAnsi="Arial" w:cs="Arial"/>
        </w:rPr>
        <w:t>Conformément à l’article L. </w:t>
      </w:r>
      <w:r w:rsidRPr="00FA77AD">
        <w:rPr>
          <w:rFonts w:ascii="Arial" w:hAnsi="Arial" w:cs="Arial"/>
        </w:rPr>
        <w:t>122-1 du Code de l’</w:t>
      </w:r>
      <w:r w:rsidR="0017395E">
        <w:rPr>
          <w:rFonts w:ascii="Arial" w:hAnsi="Arial" w:cs="Arial"/>
        </w:rPr>
        <w:t>E</w:t>
      </w:r>
      <w:r w:rsidRPr="00FA77AD">
        <w:rPr>
          <w:rFonts w:ascii="Arial" w:hAnsi="Arial" w:cs="Arial"/>
        </w:rPr>
        <w:t>nvironnement</w:t>
      </w:r>
      <w:r>
        <w:rPr>
          <w:rFonts w:ascii="Arial" w:hAnsi="Arial" w:cs="Arial"/>
        </w:rPr>
        <w:t xml:space="preserve">, une </w:t>
      </w:r>
      <w:r w:rsidRPr="00FA77AD">
        <w:rPr>
          <w:rFonts w:ascii="Arial" w:hAnsi="Arial" w:cs="Arial"/>
        </w:rPr>
        <w:t xml:space="preserve">réponse écrite </w:t>
      </w:r>
      <w:r>
        <w:rPr>
          <w:rFonts w:ascii="Arial" w:hAnsi="Arial" w:cs="Arial"/>
        </w:rPr>
        <w:t xml:space="preserve">doit être produite par ECOSLOPS (en tant que </w:t>
      </w:r>
      <w:r w:rsidRPr="00FA77AD">
        <w:rPr>
          <w:rFonts w:ascii="Arial" w:hAnsi="Arial" w:cs="Arial"/>
        </w:rPr>
        <w:t>maître d’ouvrage</w:t>
      </w:r>
      <w:r>
        <w:rPr>
          <w:rFonts w:ascii="Arial" w:hAnsi="Arial" w:cs="Arial"/>
        </w:rPr>
        <w:t>)</w:t>
      </w:r>
      <w:r w:rsidRPr="00FA77AD">
        <w:rPr>
          <w:rFonts w:ascii="Arial" w:hAnsi="Arial" w:cs="Arial"/>
        </w:rPr>
        <w:t xml:space="preserve"> à l’avis rendu par l’Autorité </w:t>
      </w:r>
      <w:r w:rsidR="0017395E">
        <w:rPr>
          <w:rFonts w:ascii="Arial" w:hAnsi="Arial" w:cs="Arial"/>
        </w:rPr>
        <w:t>E</w:t>
      </w:r>
      <w:r w:rsidRPr="00FA77AD">
        <w:rPr>
          <w:rFonts w:ascii="Arial" w:hAnsi="Arial" w:cs="Arial"/>
        </w:rPr>
        <w:t>nvironnementale</w:t>
      </w:r>
      <w:r w:rsidR="0017395E">
        <w:rPr>
          <w:rFonts w:ascii="Arial" w:hAnsi="Arial" w:cs="Arial"/>
        </w:rPr>
        <w:t xml:space="preserve"> (AE)</w:t>
      </w:r>
      <w:r w:rsidRPr="00FA77AD">
        <w:rPr>
          <w:rFonts w:ascii="Arial" w:hAnsi="Arial" w:cs="Arial"/>
        </w:rPr>
        <w:t xml:space="preserve"> sur la qualité d</w:t>
      </w:r>
      <w:r>
        <w:rPr>
          <w:rFonts w:ascii="Arial" w:hAnsi="Arial" w:cs="Arial"/>
        </w:rPr>
        <w:t>u dossier et sur</w:t>
      </w:r>
      <w:r w:rsidRPr="00FA77AD">
        <w:rPr>
          <w:rFonts w:ascii="Arial" w:hAnsi="Arial" w:cs="Arial"/>
        </w:rPr>
        <w:t xml:space="preserve"> la prise en compte de l’environnement par le projet. Ce document devra être joint au dossier d’enquête publique.</w:t>
      </w:r>
    </w:p>
    <w:p w14:paraId="53C8F46F" w14:textId="69DE66C3" w:rsidR="00FA77AD" w:rsidRDefault="00177F7F" w:rsidP="004A2455">
      <w:pPr>
        <w:pStyle w:val="Texte"/>
        <w:spacing w:before="200" w:after="0" w:line="276" w:lineRule="auto"/>
        <w:ind w:left="0"/>
        <w:rPr>
          <w:rFonts w:cs="Arial"/>
          <w:szCs w:val="20"/>
        </w:rPr>
      </w:pPr>
      <w:r w:rsidRPr="006C060B">
        <w:rPr>
          <w:rFonts w:cs="Arial"/>
          <w:szCs w:val="20"/>
        </w:rPr>
        <w:t>Le présent document</w:t>
      </w:r>
      <w:r w:rsidR="00FA77AD">
        <w:rPr>
          <w:rFonts w:cs="Arial"/>
          <w:szCs w:val="20"/>
        </w:rPr>
        <w:t xml:space="preserve"> </w:t>
      </w:r>
      <w:r w:rsidRPr="006C060B">
        <w:rPr>
          <w:rFonts w:cs="Arial"/>
          <w:szCs w:val="20"/>
        </w:rPr>
        <w:t>apporte des éléments de réponse aux</w:t>
      </w:r>
      <w:r w:rsidR="00272977">
        <w:rPr>
          <w:rFonts w:cs="Arial"/>
          <w:szCs w:val="20"/>
        </w:rPr>
        <w:t xml:space="preserve"> 7</w:t>
      </w:r>
      <w:r w:rsidRPr="006C060B">
        <w:rPr>
          <w:rFonts w:cs="Arial"/>
          <w:szCs w:val="20"/>
        </w:rPr>
        <w:t xml:space="preserve"> </w:t>
      </w:r>
      <w:r w:rsidR="00FA77AD">
        <w:rPr>
          <w:rFonts w:cs="Arial"/>
          <w:szCs w:val="20"/>
        </w:rPr>
        <w:t>recommandations</w:t>
      </w:r>
      <w:r w:rsidRPr="006C060B">
        <w:rPr>
          <w:rFonts w:cs="Arial"/>
          <w:szCs w:val="20"/>
        </w:rPr>
        <w:t xml:space="preserve"> formulées par l’A</w:t>
      </w:r>
      <w:r w:rsidR="00FA77AD">
        <w:rPr>
          <w:rFonts w:cs="Arial"/>
          <w:szCs w:val="20"/>
        </w:rPr>
        <w:t>E</w:t>
      </w:r>
      <w:r w:rsidRPr="006C060B">
        <w:rPr>
          <w:rFonts w:cs="Arial"/>
          <w:szCs w:val="20"/>
        </w:rPr>
        <w:t xml:space="preserve"> sur l</w:t>
      </w:r>
      <w:r w:rsidR="00FA77AD">
        <w:rPr>
          <w:rFonts w:cs="Arial"/>
          <w:szCs w:val="20"/>
        </w:rPr>
        <w:t>a base du DDAE. C</w:t>
      </w:r>
      <w:r w:rsidRPr="006C060B">
        <w:rPr>
          <w:rFonts w:cs="Arial"/>
          <w:szCs w:val="20"/>
        </w:rPr>
        <w:t>es commentaires de l’A</w:t>
      </w:r>
      <w:r w:rsidR="00FA77AD">
        <w:rPr>
          <w:rFonts w:cs="Arial"/>
          <w:szCs w:val="20"/>
        </w:rPr>
        <w:t>E</w:t>
      </w:r>
      <w:r w:rsidRPr="006C060B">
        <w:rPr>
          <w:rFonts w:cs="Arial"/>
          <w:szCs w:val="20"/>
        </w:rPr>
        <w:t xml:space="preserve"> sont repris en italique ci-</w:t>
      </w:r>
      <w:r w:rsidR="00BF5574" w:rsidRPr="006C060B">
        <w:rPr>
          <w:rFonts w:cs="Arial"/>
          <w:szCs w:val="20"/>
        </w:rPr>
        <w:t>après</w:t>
      </w:r>
      <w:r w:rsidRPr="006C060B">
        <w:rPr>
          <w:rFonts w:cs="Arial"/>
          <w:szCs w:val="20"/>
        </w:rPr>
        <w:t>.</w:t>
      </w:r>
    </w:p>
    <w:p w14:paraId="14192D7F" w14:textId="24F30EC5" w:rsidR="00272977" w:rsidRDefault="00272977" w:rsidP="004A2455">
      <w:pPr>
        <w:pStyle w:val="Texte"/>
        <w:spacing w:before="200" w:after="0" w:line="276" w:lineRule="auto"/>
        <w:ind w:left="0"/>
        <w:rPr>
          <w:rFonts w:cs="Arial"/>
          <w:szCs w:val="20"/>
        </w:rPr>
      </w:pPr>
    </w:p>
    <w:p w14:paraId="0B9A92F2" w14:textId="77777777" w:rsidR="00FA659E" w:rsidRDefault="00FA659E" w:rsidP="00FA659E">
      <w:pPr>
        <w:pStyle w:val="Texte"/>
        <w:spacing w:before="200" w:after="0" w:line="276" w:lineRule="auto"/>
        <w:ind w:left="0"/>
        <w:rPr>
          <w:rFonts w:cs="Arial"/>
          <w:szCs w:val="20"/>
        </w:rPr>
      </w:pPr>
    </w:p>
    <w:p w14:paraId="44040B35" w14:textId="62CD9785" w:rsidR="00FA659E" w:rsidRPr="00FA77AD" w:rsidRDefault="00FA659E" w:rsidP="00272977">
      <w:pPr>
        <w:pBdr>
          <w:top w:val="single" w:sz="4" w:space="1" w:color="auto"/>
          <w:left w:val="single" w:sz="4" w:space="4" w:color="auto"/>
          <w:bottom w:val="single" w:sz="4" w:space="1" w:color="auto"/>
          <w:right w:val="single" w:sz="4" w:space="4" w:color="auto"/>
        </w:pBdr>
        <w:jc w:val="both"/>
        <w:rPr>
          <w:rFonts w:ascii="Arial" w:hAnsi="Arial" w:cs="Arial"/>
          <w:b/>
          <w:i/>
        </w:rPr>
      </w:pPr>
      <w:r w:rsidRPr="00FA77AD">
        <w:rPr>
          <w:rFonts w:ascii="Arial" w:hAnsi="Arial" w:cs="Arial"/>
          <w:b/>
          <w:i/>
        </w:rPr>
        <w:t xml:space="preserve">Recommandation </w:t>
      </w:r>
      <w:r w:rsidR="00272977">
        <w:rPr>
          <w:rFonts w:ascii="Arial" w:hAnsi="Arial" w:cs="Arial"/>
          <w:b/>
          <w:i/>
        </w:rPr>
        <w:t>1</w:t>
      </w:r>
      <w:r w:rsidRPr="00FA77AD">
        <w:rPr>
          <w:rFonts w:ascii="Arial" w:hAnsi="Arial" w:cs="Arial"/>
          <w:b/>
          <w:i/>
        </w:rPr>
        <w:t xml:space="preserve"> : </w:t>
      </w:r>
      <w:r w:rsidR="00272977" w:rsidRPr="00272977">
        <w:rPr>
          <w:rFonts w:ascii="Arial" w:hAnsi="Arial" w:cs="Arial"/>
          <w:b/>
          <w:i/>
        </w:rPr>
        <w:t>Justifier la compatibilité de la phase travaux de son projet avec le</w:t>
      </w:r>
      <w:r w:rsidR="00272977">
        <w:rPr>
          <w:rFonts w:ascii="Arial" w:hAnsi="Arial" w:cs="Arial"/>
          <w:b/>
          <w:i/>
        </w:rPr>
        <w:t xml:space="preserve"> </w:t>
      </w:r>
      <w:r w:rsidR="00272977" w:rsidRPr="00272977">
        <w:rPr>
          <w:rFonts w:ascii="Arial" w:hAnsi="Arial" w:cs="Arial"/>
          <w:b/>
          <w:i/>
        </w:rPr>
        <w:t>plan de prévention et de gestion des Déchets issus de chantiers du bâtiment et des travaux</w:t>
      </w:r>
      <w:r w:rsidR="00272977">
        <w:rPr>
          <w:rFonts w:ascii="Arial" w:hAnsi="Arial" w:cs="Arial"/>
          <w:b/>
          <w:i/>
        </w:rPr>
        <w:t xml:space="preserve"> </w:t>
      </w:r>
      <w:r w:rsidR="00272977" w:rsidRPr="00272977">
        <w:rPr>
          <w:rFonts w:ascii="Arial" w:hAnsi="Arial" w:cs="Arial"/>
          <w:b/>
          <w:i/>
        </w:rPr>
        <w:t>publics.</w:t>
      </w:r>
    </w:p>
    <w:p w14:paraId="4C7F076C" w14:textId="79694A6A" w:rsidR="00272977" w:rsidRPr="00B54494" w:rsidRDefault="00272977" w:rsidP="00B54494">
      <w:pPr>
        <w:pStyle w:val="Texte"/>
        <w:spacing w:before="200" w:after="0" w:line="276" w:lineRule="auto"/>
        <w:ind w:left="0"/>
        <w:rPr>
          <w:rFonts w:cs="Arial"/>
          <w:szCs w:val="20"/>
        </w:rPr>
      </w:pPr>
      <w:r w:rsidRPr="00B54494">
        <w:rPr>
          <w:rFonts w:cs="Arial"/>
          <w:szCs w:val="20"/>
        </w:rPr>
        <w:t>La réglementation applicable concernant la gestion des déchets générés lors de la phase de chantier fera partie de l’ensemble des exigences du cahier des charges nécessaire à l’appel d’offre des marchés de travaux</w:t>
      </w:r>
    </w:p>
    <w:p w14:paraId="1DA4A812" w14:textId="2130CFCD" w:rsidR="00FA659E" w:rsidRDefault="00FA659E" w:rsidP="00FA659E">
      <w:pPr>
        <w:pStyle w:val="Texte"/>
        <w:spacing w:before="200" w:after="0" w:line="276" w:lineRule="auto"/>
        <w:ind w:left="0"/>
        <w:rPr>
          <w:rFonts w:cs="Arial"/>
          <w:szCs w:val="20"/>
        </w:rPr>
      </w:pPr>
    </w:p>
    <w:p w14:paraId="68A0BE57" w14:textId="77777777" w:rsidR="007E2985" w:rsidRDefault="007E2985" w:rsidP="00FA659E">
      <w:pPr>
        <w:pStyle w:val="Texte"/>
        <w:spacing w:before="200" w:after="0" w:line="276" w:lineRule="auto"/>
        <w:ind w:left="0"/>
        <w:rPr>
          <w:rFonts w:cs="Arial"/>
          <w:szCs w:val="20"/>
        </w:rPr>
      </w:pPr>
    </w:p>
    <w:p w14:paraId="50D06D1D" w14:textId="2A7F1F3E" w:rsidR="00FA659E" w:rsidRPr="00FA77AD" w:rsidRDefault="00FA659E" w:rsidP="00272977">
      <w:pPr>
        <w:pBdr>
          <w:top w:val="single" w:sz="4" w:space="1" w:color="auto"/>
          <w:left w:val="single" w:sz="4" w:space="4" w:color="auto"/>
          <w:bottom w:val="single" w:sz="4" w:space="1" w:color="auto"/>
          <w:right w:val="single" w:sz="4" w:space="4" w:color="auto"/>
        </w:pBdr>
        <w:jc w:val="both"/>
        <w:rPr>
          <w:rFonts w:ascii="Arial" w:hAnsi="Arial" w:cs="Arial"/>
          <w:b/>
          <w:i/>
        </w:rPr>
      </w:pPr>
      <w:r w:rsidRPr="00FA77AD">
        <w:rPr>
          <w:rFonts w:ascii="Arial" w:hAnsi="Arial" w:cs="Arial"/>
          <w:b/>
          <w:i/>
        </w:rPr>
        <w:t xml:space="preserve">Recommandation </w:t>
      </w:r>
      <w:r w:rsidR="00272977">
        <w:rPr>
          <w:rFonts w:ascii="Arial" w:hAnsi="Arial" w:cs="Arial"/>
          <w:b/>
          <w:i/>
        </w:rPr>
        <w:t xml:space="preserve">2 </w:t>
      </w:r>
      <w:r w:rsidRPr="00FA77AD">
        <w:rPr>
          <w:rFonts w:ascii="Arial" w:hAnsi="Arial" w:cs="Arial"/>
          <w:b/>
          <w:i/>
        </w:rPr>
        <w:t xml:space="preserve">: </w:t>
      </w:r>
      <w:r w:rsidR="00272977" w:rsidRPr="00272977">
        <w:rPr>
          <w:rFonts w:ascii="Arial" w:hAnsi="Arial" w:cs="Arial"/>
          <w:b/>
          <w:i/>
        </w:rPr>
        <w:t>Présenter, conformément au code de l’environnement, les solutions</w:t>
      </w:r>
      <w:r w:rsidR="00272977">
        <w:rPr>
          <w:rFonts w:ascii="Arial" w:hAnsi="Arial" w:cs="Arial"/>
          <w:b/>
          <w:i/>
        </w:rPr>
        <w:t xml:space="preserve"> </w:t>
      </w:r>
      <w:r w:rsidR="00272977" w:rsidRPr="00272977">
        <w:rPr>
          <w:rFonts w:ascii="Arial" w:hAnsi="Arial" w:cs="Arial"/>
          <w:b/>
          <w:i/>
        </w:rPr>
        <w:t>de substitution raisonnables envisagées et les comparer en termes d’incidences sur l’environnement et la santé.</w:t>
      </w:r>
    </w:p>
    <w:p w14:paraId="0F4EA743" w14:textId="77777777" w:rsidR="00780740" w:rsidRDefault="00780740" w:rsidP="00780740">
      <w:pPr>
        <w:autoSpaceDE w:val="0"/>
        <w:autoSpaceDN w:val="0"/>
        <w:adjustRightInd w:val="0"/>
        <w:snapToGrid w:val="0"/>
        <w:rPr>
          <w:rFonts w:ascii="Arial" w:hAnsi="Arial" w:cs="Arial"/>
          <w:color w:val="000000"/>
          <w:szCs w:val="24"/>
          <w:lang w:val="x-none"/>
        </w:rPr>
      </w:pPr>
    </w:p>
    <w:p w14:paraId="79F5B7ED" w14:textId="2387A5E4" w:rsidR="00780740" w:rsidRDefault="00780740" w:rsidP="00780740">
      <w:pPr>
        <w:spacing w:before="200" w:line="276" w:lineRule="auto"/>
        <w:jc w:val="both"/>
        <w:rPr>
          <w:rFonts w:ascii="Arial" w:hAnsi="Arial" w:cs="Arial"/>
        </w:rPr>
      </w:pPr>
      <w:r w:rsidRPr="00780740">
        <w:rPr>
          <w:rFonts w:ascii="Arial" w:hAnsi="Arial" w:cs="Arial"/>
        </w:rPr>
        <w:t>La localisation retenue du projet est motivée par plusieurs éléments, afin de minimiser son impact environnemental :</w:t>
      </w:r>
    </w:p>
    <w:p w14:paraId="25F3F299" w14:textId="77777777" w:rsidR="00780740" w:rsidRPr="00780740" w:rsidRDefault="00780740" w:rsidP="00780740">
      <w:pPr>
        <w:spacing w:before="200" w:line="276" w:lineRule="auto"/>
        <w:jc w:val="both"/>
        <w:rPr>
          <w:rFonts w:ascii="Arial" w:hAnsi="Arial" w:cs="Arial"/>
        </w:rPr>
      </w:pPr>
    </w:p>
    <w:p w14:paraId="640A0B44" w14:textId="77777777" w:rsidR="00780740" w:rsidRPr="00780740" w:rsidRDefault="00780740" w:rsidP="00780740">
      <w:pPr>
        <w:spacing w:before="200" w:line="276" w:lineRule="auto"/>
        <w:jc w:val="both"/>
        <w:rPr>
          <w:rFonts w:ascii="Arial" w:hAnsi="Arial" w:cs="Arial"/>
          <w:u w:val="single"/>
        </w:rPr>
      </w:pPr>
      <w:r w:rsidRPr="00780740">
        <w:rPr>
          <w:rFonts w:ascii="Arial" w:hAnsi="Arial" w:cs="Arial"/>
          <w:u w:val="single"/>
        </w:rPr>
        <w:t>Un site déjà anthropisé :</w:t>
      </w:r>
    </w:p>
    <w:p w14:paraId="705F0E8F" w14:textId="51449330" w:rsidR="00780740" w:rsidRPr="00780740" w:rsidRDefault="0097254A" w:rsidP="00780740">
      <w:pPr>
        <w:spacing w:before="200" w:line="276" w:lineRule="auto"/>
        <w:jc w:val="both"/>
        <w:rPr>
          <w:rFonts w:ascii="Arial" w:hAnsi="Arial" w:cs="Arial"/>
        </w:rPr>
      </w:pPr>
      <w:r>
        <w:rPr>
          <w:rFonts w:ascii="Arial" w:hAnsi="Arial" w:cs="Arial"/>
        </w:rPr>
        <w:t>L’implantation d’</w:t>
      </w:r>
      <w:proofErr w:type="spellStart"/>
      <w:r>
        <w:rPr>
          <w:rFonts w:ascii="Arial" w:hAnsi="Arial" w:cs="Arial"/>
        </w:rPr>
        <w:t>E</w:t>
      </w:r>
      <w:r w:rsidR="003D7159">
        <w:rPr>
          <w:rFonts w:ascii="Arial" w:hAnsi="Arial" w:cs="Arial"/>
        </w:rPr>
        <w:t>coslops</w:t>
      </w:r>
      <w:proofErr w:type="spellEnd"/>
      <w:r w:rsidR="003D7159">
        <w:rPr>
          <w:rFonts w:ascii="Arial" w:hAnsi="Arial" w:cs="Arial"/>
        </w:rPr>
        <w:t xml:space="preserve"> au sein de la plateforme de La Mède évite l’anthropisation d’un site naturel. La plateforme, en cours de conversion, offre des terrains déjà anthropisés par des activités similaires, sans nouveau réel impact pour l’environnement (pas de nouveau</w:t>
      </w:r>
      <w:r w:rsidR="00780740" w:rsidRPr="00780740">
        <w:rPr>
          <w:rFonts w:ascii="Arial" w:hAnsi="Arial" w:cs="Arial"/>
        </w:rPr>
        <w:t xml:space="preserve"> travail de défrichage</w:t>
      </w:r>
      <w:r w:rsidR="003D7159">
        <w:rPr>
          <w:rFonts w:ascii="Arial" w:hAnsi="Arial" w:cs="Arial"/>
        </w:rPr>
        <w:t xml:space="preserve"> par exemple notamment)</w:t>
      </w:r>
      <w:r w:rsidR="00780740" w:rsidRPr="00780740">
        <w:rPr>
          <w:rFonts w:ascii="Arial" w:hAnsi="Arial" w:cs="Arial"/>
        </w:rPr>
        <w:t>.</w:t>
      </w:r>
    </w:p>
    <w:p w14:paraId="09BE8282" w14:textId="77777777" w:rsidR="00780740" w:rsidRPr="00780740" w:rsidRDefault="00780740" w:rsidP="00780740">
      <w:pPr>
        <w:spacing w:before="200" w:line="276" w:lineRule="auto"/>
        <w:jc w:val="both"/>
        <w:rPr>
          <w:rFonts w:ascii="Arial" w:hAnsi="Arial" w:cs="Arial"/>
        </w:rPr>
      </w:pPr>
    </w:p>
    <w:p w14:paraId="6CA160C2" w14:textId="77777777" w:rsidR="00780740" w:rsidRPr="00780740" w:rsidRDefault="00780740" w:rsidP="00780740">
      <w:pPr>
        <w:spacing w:before="200" w:line="276" w:lineRule="auto"/>
        <w:jc w:val="both"/>
        <w:rPr>
          <w:rFonts w:ascii="Arial" w:hAnsi="Arial" w:cs="Arial"/>
          <w:u w:val="single"/>
        </w:rPr>
      </w:pPr>
      <w:r w:rsidRPr="00780740">
        <w:rPr>
          <w:rFonts w:ascii="Arial" w:hAnsi="Arial" w:cs="Arial"/>
          <w:u w:val="single"/>
        </w:rPr>
        <w:t>Un facteur d’échelle :</w:t>
      </w:r>
    </w:p>
    <w:p w14:paraId="420E3583" w14:textId="1B3771A0" w:rsidR="003D7159" w:rsidRDefault="003D7159" w:rsidP="00780740">
      <w:pPr>
        <w:spacing w:before="200" w:line="276" w:lineRule="auto"/>
        <w:jc w:val="both"/>
        <w:rPr>
          <w:rFonts w:ascii="Arial" w:hAnsi="Arial" w:cs="Arial"/>
        </w:rPr>
      </w:pPr>
      <w:r>
        <w:rPr>
          <w:rFonts w:ascii="Arial" w:hAnsi="Arial" w:cs="Arial"/>
        </w:rPr>
        <w:t xml:space="preserve">De par la taille de ses installations (installation de combustion &lt; 3MW, capacité annuelle 30 000T/an), </w:t>
      </w:r>
      <w:proofErr w:type="spellStart"/>
      <w:r>
        <w:rPr>
          <w:rFonts w:ascii="Arial" w:hAnsi="Arial" w:cs="Arial"/>
        </w:rPr>
        <w:t>Ecoslops</w:t>
      </w:r>
      <w:proofErr w:type="spellEnd"/>
      <w:r>
        <w:rPr>
          <w:rFonts w:ascii="Arial" w:hAnsi="Arial" w:cs="Arial"/>
        </w:rPr>
        <w:t xml:space="preserve"> n’aura qu’un impact négligeable par rapport aux autres activités de la plateforme</w:t>
      </w:r>
      <w:r w:rsidR="0073170E">
        <w:rPr>
          <w:rFonts w:ascii="Arial" w:hAnsi="Arial" w:cs="Arial"/>
        </w:rPr>
        <w:t>.</w:t>
      </w:r>
    </w:p>
    <w:p w14:paraId="6DE3B19F" w14:textId="77777777" w:rsidR="00780740" w:rsidRPr="00780740" w:rsidRDefault="00780740" w:rsidP="00780740">
      <w:pPr>
        <w:spacing w:before="200" w:line="276" w:lineRule="auto"/>
        <w:jc w:val="both"/>
        <w:rPr>
          <w:rFonts w:ascii="Arial" w:hAnsi="Arial" w:cs="Arial"/>
        </w:rPr>
      </w:pPr>
    </w:p>
    <w:p w14:paraId="53220889" w14:textId="77777777" w:rsidR="00780740" w:rsidRPr="00780740" w:rsidRDefault="00780740" w:rsidP="00780740">
      <w:pPr>
        <w:spacing w:before="200" w:line="276" w:lineRule="auto"/>
        <w:jc w:val="both"/>
        <w:rPr>
          <w:rFonts w:ascii="Arial" w:hAnsi="Arial" w:cs="Arial"/>
          <w:u w:val="single"/>
        </w:rPr>
      </w:pPr>
      <w:r w:rsidRPr="00780740">
        <w:rPr>
          <w:rFonts w:ascii="Arial" w:hAnsi="Arial" w:cs="Arial"/>
          <w:u w:val="single"/>
        </w:rPr>
        <w:t>Une mutualisation des utilités :</w:t>
      </w:r>
    </w:p>
    <w:p w14:paraId="5BAE5FA3" w14:textId="77777777" w:rsidR="00780740" w:rsidRPr="00780740" w:rsidRDefault="00780740" w:rsidP="00780740">
      <w:pPr>
        <w:spacing w:before="200" w:line="276" w:lineRule="auto"/>
        <w:jc w:val="both"/>
        <w:rPr>
          <w:rFonts w:ascii="Arial" w:hAnsi="Arial" w:cs="Arial"/>
        </w:rPr>
      </w:pPr>
      <w:r w:rsidRPr="00780740">
        <w:rPr>
          <w:rFonts w:ascii="Arial" w:hAnsi="Arial" w:cs="Arial"/>
        </w:rPr>
        <w:t xml:space="preserve">Les utilités nécessaires au fonctionnement des installations (électricité, eaux, vapeur, air, azote, gaz naturel, réseau torche) seront fournies par la plateforme. </w:t>
      </w:r>
      <w:proofErr w:type="spellStart"/>
      <w:r w:rsidRPr="00780740">
        <w:rPr>
          <w:rFonts w:ascii="Arial" w:hAnsi="Arial" w:cs="Arial"/>
        </w:rPr>
        <w:t>Ecoslops</w:t>
      </w:r>
      <w:proofErr w:type="spellEnd"/>
      <w:r w:rsidRPr="00780740">
        <w:rPr>
          <w:rFonts w:ascii="Arial" w:hAnsi="Arial" w:cs="Arial"/>
        </w:rPr>
        <w:t xml:space="preserve"> n’a donc pas à mettre en œuvre des installations permettant la génération de telles utilités.</w:t>
      </w:r>
    </w:p>
    <w:p w14:paraId="4B97D152" w14:textId="77777777" w:rsidR="00780740" w:rsidRDefault="00780740" w:rsidP="00780740">
      <w:pPr>
        <w:autoSpaceDE w:val="0"/>
        <w:autoSpaceDN w:val="0"/>
        <w:adjustRightInd w:val="0"/>
        <w:snapToGrid w:val="0"/>
        <w:rPr>
          <w:rFonts w:ascii="Arial" w:hAnsi="Arial" w:cs="Arial"/>
          <w:color w:val="000000"/>
          <w:szCs w:val="24"/>
        </w:rPr>
      </w:pPr>
    </w:p>
    <w:p w14:paraId="006BF5BF" w14:textId="736FDB6D" w:rsidR="0097254A" w:rsidRPr="007C4F13" w:rsidRDefault="0097254A" w:rsidP="007C4F13">
      <w:pPr>
        <w:spacing w:before="200" w:line="276" w:lineRule="auto"/>
        <w:jc w:val="both"/>
        <w:rPr>
          <w:rFonts w:ascii="Arial" w:hAnsi="Arial" w:cs="Arial"/>
        </w:rPr>
      </w:pPr>
      <w:r w:rsidRPr="007C4F13">
        <w:rPr>
          <w:rFonts w:ascii="Arial" w:hAnsi="Arial" w:cs="Arial"/>
        </w:rPr>
        <w:t xml:space="preserve">Bien que d’autres sites (notamment </w:t>
      </w:r>
      <w:proofErr w:type="spellStart"/>
      <w:r w:rsidRPr="007C4F13">
        <w:rPr>
          <w:rFonts w:ascii="Arial" w:hAnsi="Arial" w:cs="Arial"/>
        </w:rPr>
        <w:t>Fluxel</w:t>
      </w:r>
      <w:proofErr w:type="spellEnd"/>
      <w:r w:rsidRPr="007C4F13">
        <w:rPr>
          <w:rFonts w:ascii="Arial" w:hAnsi="Arial" w:cs="Arial"/>
        </w:rPr>
        <w:t>, ou la zone industrielle de Fos-sur Mer) puissent présenter les mêmes avantages que ceux listés ci-dessus, seule la plateforme de La Mède offre la possibilité de mutualiser la main-d’œuvre nécessaire à la conduite d’installations de raffinage, telle que l’unité P2R. C’est la raison pour laquelle le choix s’est arrêté sur la plateforme de La Mède</w:t>
      </w:r>
      <w:r w:rsidR="0048615C" w:rsidRPr="007C4F13">
        <w:rPr>
          <w:rFonts w:ascii="Arial" w:hAnsi="Arial" w:cs="Arial"/>
        </w:rPr>
        <w:t xml:space="preserve"> pour l’implantation d’une unité P2R</w:t>
      </w:r>
      <w:r w:rsidRPr="007C4F13">
        <w:rPr>
          <w:rFonts w:ascii="Arial" w:hAnsi="Arial" w:cs="Arial"/>
        </w:rPr>
        <w:t>.</w:t>
      </w:r>
    </w:p>
    <w:p w14:paraId="64D710DA" w14:textId="77777777" w:rsidR="007E2985" w:rsidRDefault="007E2985" w:rsidP="00FA659E">
      <w:pPr>
        <w:pStyle w:val="Texte"/>
        <w:spacing w:before="200" w:after="0" w:line="276" w:lineRule="auto"/>
        <w:ind w:left="0"/>
        <w:rPr>
          <w:rFonts w:cs="Arial"/>
          <w:szCs w:val="20"/>
        </w:rPr>
      </w:pPr>
    </w:p>
    <w:p w14:paraId="75EABF3E" w14:textId="2EBF0F49" w:rsidR="00FA659E" w:rsidRPr="00FA77AD" w:rsidRDefault="00FA659E" w:rsidP="00FA659E">
      <w:pPr>
        <w:pBdr>
          <w:top w:val="single" w:sz="4" w:space="1" w:color="auto"/>
          <w:left w:val="single" w:sz="4" w:space="4" w:color="auto"/>
          <w:bottom w:val="single" w:sz="4" w:space="1" w:color="auto"/>
          <w:right w:val="single" w:sz="4" w:space="4" w:color="auto"/>
        </w:pBdr>
        <w:spacing w:before="200" w:line="276" w:lineRule="auto"/>
        <w:jc w:val="both"/>
        <w:rPr>
          <w:rFonts w:ascii="Arial" w:hAnsi="Arial" w:cs="Arial"/>
          <w:b/>
          <w:i/>
        </w:rPr>
      </w:pPr>
      <w:r w:rsidRPr="00FA77AD">
        <w:rPr>
          <w:rFonts w:ascii="Arial" w:hAnsi="Arial" w:cs="Arial"/>
          <w:b/>
          <w:i/>
        </w:rPr>
        <w:t xml:space="preserve">Recommandation </w:t>
      </w:r>
      <w:r w:rsidR="00272977">
        <w:rPr>
          <w:rFonts w:ascii="Arial" w:hAnsi="Arial" w:cs="Arial"/>
          <w:b/>
          <w:i/>
        </w:rPr>
        <w:t>3</w:t>
      </w:r>
      <w:r w:rsidRPr="00FA77AD">
        <w:rPr>
          <w:rFonts w:ascii="Arial" w:hAnsi="Arial" w:cs="Arial"/>
          <w:b/>
          <w:i/>
        </w:rPr>
        <w:t xml:space="preserve"> : </w:t>
      </w:r>
      <w:r w:rsidR="00272977" w:rsidRPr="00272977">
        <w:rPr>
          <w:rFonts w:ascii="Arial" w:hAnsi="Arial" w:cs="Arial"/>
          <w:b/>
          <w:i/>
        </w:rPr>
        <w:t>Corriger la fiche de données de sécurité du gazole en y rajoutant la</w:t>
      </w:r>
      <w:r w:rsidR="00272977">
        <w:rPr>
          <w:rFonts w:ascii="Arial" w:hAnsi="Arial" w:cs="Arial"/>
          <w:b/>
          <w:i/>
        </w:rPr>
        <w:t xml:space="preserve"> </w:t>
      </w:r>
      <w:r w:rsidR="00272977" w:rsidRPr="00272977">
        <w:rPr>
          <w:rFonts w:ascii="Arial" w:hAnsi="Arial" w:cs="Arial"/>
          <w:b/>
          <w:i/>
        </w:rPr>
        <w:t>mention de danger liée à son inflammabilité.</w:t>
      </w:r>
    </w:p>
    <w:p w14:paraId="259977ED" w14:textId="67425F64" w:rsidR="00FA659E" w:rsidRPr="007E2985" w:rsidRDefault="007E2985" w:rsidP="004A2455">
      <w:pPr>
        <w:pStyle w:val="Texte"/>
        <w:spacing w:before="200" w:after="0" w:line="276" w:lineRule="auto"/>
        <w:ind w:left="0"/>
        <w:rPr>
          <w:rFonts w:cs="Arial"/>
          <w:szCs w:val="20"/>
        </w:rPr>
      </w:pPr>
      <w:r w:rsidRPr="007E2985">
        <w:rPr>
          <w:rFonts w:cs="Arial"/>
          <w:szCs w:val="20"/>
        </w:rPr>
        <w:t>Veuillez trouver ci-joint la fiche de données de sécurité du gazole modifiée.</w:t>
      </w:r>
    </w:p>
    <w:p w14:paraId="6616F3A6" w14:textId="198E0F88" w:rsidR="00272977" w:rsidRDefault="00272977" w:rsidP="004A2455">
      <w:pPr>
        <w:pStyle w:val="Texte"/>
        <w:spacing w:before="200" w:after="0" w:line="276" w:lineRule="auto"/>
        <w:ind w:left="0"/>
        <w:rPr>
          <w:rFonts w:cs="Arial"/>
          <w:szCs w:val="20"/>
        </w:rPr>
      </w:pPr>
    </w:p>
    <w:p w14:paraId="79F6A148" w14:textId="77777777" w:rsidR="00272977" w:rsidRDefault="00272977" w:rsidP="004A2455">
      <w:pPr>
        <w:pStyle w:val="Texte"/>
        <w:spacing w:before="200" w:after="0" w:line="276" w:lineRule="auto"/>
        <w:ind w:left="0"/>
        <w:rPr>
          <w:rFonts w:cs="Arial"/>
          <w:szCs w:val="20"/>
        </w:rPr>
      </w:pPr>
    </w:p>
    <w:p w14:paraId="6AA78912" w14:textId="07DFFBA1" w:rsidR="004A2455" w:rsidRPr="00FA77AD" w:rsidRDefault="00FA77AD" w:rsidP="00FA77AD">
      <w:pPr>
        <w:pBdr>
          <w:top w:val="single" w:sz="4" w:space="1" w:color="auto"/>
          <w:left w:val="single" w:sz="4" w:space="4" w:color="auto"/>
          <w:bottom w:val="single" w:sz="4" w:space="1" w:color="auto"/>
          <w:right w:val="single" w:sz="4" w:space="4" w:color="auto"/>
        </w:pBdr>
        <w:spacing w:before="200" w:line="276" w:lineRule="auto"/>
        <w:jc w:val="both"/>
        <w:rPr>
          <w:rFonts w:ascii="Arial" w:hAnsi="Arial" w:cs="Arial"/>
          <w:b/>
          <w:i/>
        </w:rPr>
      </w:pPr>
      <w:r w:rsidRPr="00FA77AD">
        <w:rPr>
          <w:rFonts w:ascii="Arial" w:hAnsi="Arial" w:cs="Arial"/>
          <w:b/>
          <w:i/>
        </w:rPr>
        <w:t>Recommandation 4 : Compléter l’étude de danger par les éléments connus sur les distances d’effet pour le phénomène dangereux majorant parmi ceux évoqués, ainsi que sur les effets dominos liés aux brèches de tuyauterie notamment par le biais de fiches scénarios et cartographies associées et préciser si les effets sortent du site ou non.</w:t>
      </w:r>
    </w:p>
    <w:p w14:paraId="60695341" w14:textId="4B1CFF9D" w:rsidR="00A83186" w:rsidRPr="00A83186" w:rsidRDefault="00A83186" w:rsidP="00A83186">
      <w:pPr>
        <w:pStyle w:val="Texte"/>
        <w:numPr>
          <w:ilvl w:val="0"/>
          <w:numId w:val="27"/>
        </w:numPr>
        <w:spacing w:before="200" w:after="0" w:line="276" w:lineRule="auto"/>
        <w:ind w:left="284" w:hanging="284"/>
        <w:rPr>
          <w:rFonts w:cs="Arial"/>
          <w:b/>
          <w:szCs w:val="20"/>
        </w:rPr>
      </w:pPr>
      <w:r w:rsidRPr="00A83186">
        <w:rPr>
          <w:rFonts w:cs="Arial"/>
          <w:b/>
          <w:szCs w:val="20"/>
        </w:rPr>
        <w:lastRenderedPageBreak/>
        <w:t>Scénarios de l’unité P2R</w:t>
      </w:r>
    </w:p>
    <w:p w14:paraId="26231743" w14:textId="2171E663" w:rsidR="00C976B3" w:rsidRDefault="00C976B3" w:rsidP="00AB2071">
      <w:pPr>
        <w:pStyle w:val="Texte"/>
        <w:spacing w:before="200" w:after="0" w:line="276" w:lineRule="auto"/>
        <w:ind w:left="0"/>
        <w:rPr>
          <w:rFonts w:cs="Arial"/>
          <w:szCs w:val="20"/>
        </w:rPr>
      </w:pPr>
      <w:r w:rsidRPr="00C976B3">
        <w:rPr>
          <w:rFonts w:cs="Arial"/>
          <w:szCs w:val="20"/>
        </w:rPr>
        <w:t xml:space="preserve">La phase d’Evaluation Préliminaire des Risques (EPR) </w:t>
      </w:r>
      <w:r>
        <w:rPr>
          <w:rFonts w:cs="Arial"/>
          <w:szCs w:val="20"/>
        </w:rPr>
        <w:t xml:space="preserve">consiste à </w:t>
      </w:r>
      <w:r w:rsidRPr="00C976B3">
        <w:rPr>
          <w:rFonts w:cs="Arial"/>
          <w:szCs w:val="20"/>
        </w:rPr>
        <w:t>identifi</w:t>
      </w:r>
      <w:r>
        <w:rPr>
          <w:rFonts w:cs="Arial"/>
          <w:szCs w:val="20"/>
        </w:rPr>
        <w:t>er</w:t>
      </w:r>
      <w:r w:rsidRPr="00C976B3">
        <w:rPr>
          <w:rFonts w:cs="Arial"/>
          <w:szCs w:val="20"/>
        </w:rPr>
        <w:t xml:space="preserve"> </w:t>
      </w:r>
      <w:r>
        <w:rPr>
          <w:rFonts w:cs="Arial"/>
          <w:szCs w:val="20"/>
        </w:rPr>
        <w:t>les</w:t>
      </w:r>
      <w:r w:rsidRPr="00C976B3">
        <w:rPr>
          <w:rFonts w:cs="Arial"/>
          <w:szCs w:val="20"/>
        </w:rPr>
        <w:t xml:space="preserve"> événements redoutés (accidents) envisageables</w:t>
      </w:r>
      <w:r>
        <w:rPr>
          <w:rFonts w:cs="Arial"/>
          <w:szCs w:val="20"/>
        </w:rPr>
        <w:t xml:space="preserve">. Elle </w:t>
      </w:r>
      <w:r w:rsidRPr="00C976B3">
        <w:rPr>
          <w:rFonts w:cs="Arial"/>
          <w:szCs w:val="20"/>
        </w:rPr>
        <w:t xml:space="preserve">repose </w:t>
      </w:r>
      <w:r>
        <w:rPr>
          <w:rFonts w:cs="Arial"/>
          <w:szCs w:val="20"/>
        </w:rPr>
        <w:t xml:space="preserve">notamment sur l’analyse des </w:t>
      </w:r>
      <w:r w:rsidRPr="00C976B3">
        <w:rPr>
          <w:rFonts w:cs="Arial"/>
          <w:szCs w:val="20"/>
        </w:rPr>
        <w:t xml:space="preserve">potentiels de dangers et </w:t>
      </w:r>
      <w:r>
        <w:rPr>
          <w:rFonts w:cs="Arial"/>
          <w:szCs w:val="20"/>
        </w:rPr>
        <w:t>la revue</w:t>
      </w:r>
      <w:r w:rsidRPr="00C976B3">
        <w:rPr>
          <w:rFonts w:cs="Arial"/>
          <w:szCs w:val="20"/>
        </w:rPr>
        <w:t xml:space="preserve"> HAZOP réalisée sur les installations. Pour chaque événement redouté caractérisé, la possibilité d’avoir des effets irréversibles au-delà des limites de la Plateforme de La Mède, directement ou</w:t>
      </w:r>
      <w:r>
        <w:rPr>
          <w:rFonts w:cs="Arial"/>
          <w:szCs w:val="20"/>
        </w:rPr>
        <w:t xml:space="preserve"> par effets domino est évaluée.</w:t>
      </w:r>
    </w:p>
    <w:p w14:paraId="4F84AF40" w14:textId="77777777" w:rsidR="00C976B3" w:rsidRDefault="00C976B3" w:rsidP="00AB2071">
      <w:pPr>
        <w:pStyle w:val="Texte"/>
        <w:spacing w:before="200" w:after="0" w:line="276" w:lineRule="auto"/>
        <w:ind w:left="0"/>
        <w:rPr>
          <w:rFonts w:cs="Arial"/>
          <w:szCs w:val="20"/>
        </w:rPr>
      </w:pPr>
      <w:r>
        <w:rPr>
          <w:rFonts w:cs="Arial"/>
          <w:szCs w:val="20"/>
        </w:rPr>
        <w:t>Les potentiels de dangers des produits sont liés à leurs caractéristiques d’inflammabilité (</w:t>
      </w:r>
      <w:proofErr w:type="spellStart"/>
      <w:r>
        <w:rPr>
          <w:rFonts w:cs="Arial"/>
          <w:szCs w:val="20"/>
        </w:rPr>
        <w:t>slops</w:t>
      </w:r>
      <w:proofErr w:type="spellEnd"/>
      <w:r>
        <w:rPr>
          <w:rFonts w:cs="Arial"/>
          <w:szCs w:val="20"/>
        </w:rPr>
        <w:t>, essence, gazole, gaz naturel).</w:t>
      </w:r>
    </w:p>
    <w:p w14:paraId="3A896BF1" w14:textId="77777777" w:rsidR="00AB2071" w:rsidRDefault="00C976B3" w:rsidP="00AB2071">
      <w:pPr>
        <w:pStyle w:val="Texte"/>
        <w:spacing w:before="200" w:after="0" w:line="276" w:lineRule="auto"/>
        <w:ind w:left="0"/>
        <w:rPr>
          <w:rFonts w:cs="Arial"/>
          <w:szCs w:val="20"/>
        </w:rPr>
      </w:pPr>
      <w:r>
        <w:rPr>
          <w:rFonts w:cs="Arial"/>
          <w:szCs w:val="20"/>
        </w:rPr>
        <w:t xml:space="preserve">Concernant les équipements et les conditions opératoires, </w:t>
      </w:r>
      <w:r w:rsidR="00AB2071">
        <w:rPr>
          <w:rFonts w:cs="Arial"/>
          <w:szCs w:val="20"/>
        </w:rPr>
        <w:t>le four H3001 et le système de fractionnement C3001/D3001 constituent les principaux potentiels de dangers de l’unité P2R :</w:t>
      </w:r>
    </w:p>
    <w:p w14:paraId="654A7EA5" w14:textId="24349152" w:rsidR="00AB2071" w:rsidRDefault="00AB2071" w:rsidP="00AB2071">
      <w:pPr>
        <w:pStyle w:val="PuceNiveau1"/>
      </w:pPr>
      <w:r>
        <w:t>le four H3001 est alimenté en gaz naturel. Les événements redoutés sont la perte de confinement sur la ligne d’alimentation en gaz naturel ou l’explosion dans la chambre de combustion ;</w:t>
      </w:r>
    </w:p>
    <w:p w14:paraId="0FB7C4B8" w14:textId="437CC25B" w:rsidR="00AB2071" w:rsidRPr="00AB2071" w:rsidRDefault="00AB2071" w:rsidP="00AB2071">
      <w:pPr>
        <w:pStyle w:val="PuceNiveau1"/>
      </w:pPr>
      <w:r>
        <w:t xml:space="preserve">le système de fractionnement C3001/D3001 contient des hydrocarbures en phase gaz et liquide, et l’inventaire (hold-up) le plus important de l’unité P2R. A titre de comparaison, </w:t>
      </w:r>
      <w:r w:rsidRPr="00AB2071">
        <w:rPr>
          <w:rFonts w:cs="Arial"/>
          <w:szCs w:val="20"/>
        </w:rPr>
        <w:t xml:space="preserve">le volume </w:t>
      </w:r>
      <w:r>
        <w:rPr>
          <w:rFonts w:cs="Arial"/>
          <w:szCs w:val="20"/>
        </w:rPr>
        <w:t xml:space="preserve">de la colonne C3001 est de </w:t>
      </w:r>
      <w:r w:rsidRPr="00AB2071">
        <w:rPr>
          <w:rFonts w:cs="Arial"/>
          <w:szCs w:val="20"/>
        </w:rPr>
        <w:t>8 m</w:t>
      </w:r>
      <w:r w:rsidRPr="00A83186">
        <w:rPr>
          <w:rFonts w:cs="Arial"/>
          <w:szCs w:val="20"/>
          <w:vertAlign w:val="superscript"/>
        </w:rPr>
        <w:t>3</w:t>
      </w:r>
      <w:r w:rsidRPr="00AB2071">
        <w:rPr>
          <w:rFonts w:cs="Arial"/>
          <w:szCs w:val="20"/>
        </w:rPr>
        <w:t xml:space="preserve"> </w:t>
      </w:r>
      <w:r>
        <w:rPr>
          <w:rFonts w:cs="Arial"/>
          <w:szCs w:val="20"/>
        </w:rPr>
        <w:t xml:space="preserve">contre </w:t>
      </w:r>
      <w:r w:rsidRPr="00AB2071">
        <w:rPr>
          <w:rFonts w:cs="Arial"/>
          <w:szCs w:val="20"/>
        </w:rPr>
        <w:t>2 m</w:t>
      </w:r>
      <w:r w:rsidRPr="00A83186">
        <w:rPr>
          <w:rFonts w:cs="Arial"/>
          <w:szCs w:val="20"/>
          <w:vertAlign w:val="superscript"/>
        </w:rPr>
        <w:t>3</w:t>
      </w:r>
      <w:r w:rsidRPr="00AB2071">
        <w:rPr>
          <w:rFonts w:cs="Arial"/>
          <w:szCs w:val="20"/>
        </w:rPr>
        <w:t xml:space="preserve"> pour C3002</w:t>
      </w:r>
      <w:r w:rsidR="00A00989">
        <w:rPr>
          <w:rFonts w:cs="Arial"/>
          <w:szCs w:val="20"/>
        </w:rPr>
        <w:t xml:space="preserve"> et </w:t>
      </w:r>
      <w:r w:rsidRPr="00AB2071">
        <w:rPr>
          <w:rFonts w:cs="Arial"/>
          <w:szCs w:val="20"/>
        </w:rPr>
        <w:t>6 m</w:t>
      </w:r>
      <w:r w:rsidRPr="00A83186">
        <w:rPr>
          <w:rFonts w:cs="Arial"/>
          <w:szCs w:val="20"/>
          <w:vertAlign w:val="superscript"/>
        </w:rPr>
        <w:t>3</w:t>
      </w:r>
      <w:r w:rsidRPr="00AB2071">
        <w:rPr>
          <w:rFonts w:cs="Arial"/>
          <w:szCs w:val="20"/>
        </w:rPr>
        <w:t xml:space="preserve"> pour C3003</w:t>
      </w:r>
      <w:r w:rsidR="00A00989">
        <w:rPr>
          <w:rFonts w:cs="Arial"/>
          <w:szCs w:val="20"/>
        </w:rPr>
        <w:t xml:space="preserve">. </w:t>
      </w:r>
      <w:r>
        <w:t xml:space="preserve">Les conditions de pression et de température y sont les plus sévères (environ 400°C et 1 </w:t>
      </w:r>
      <w:proofErr w:type="spellStart"/>
      <w:r>
        <w:t>barg</w:t>
      </w:r>
      <w:proofErr w:type="spellEnd"/>
      <w:r w:rsidR="00A00989">
        <w:t xml:space="preserve"> en fond de colonne C3001</w:t>
      </w:r>
      <w:r>
        <w:t>).</w:t>
      </w:r>
    </w:p>
    <w:p w14:paraId="19BC2950" w14:textId="7B59D25D" w:rsidR="00A00989" w:rsidRDefault="00A00989" w:rsidP="00A00989">
      <w:pPr>
        <w:pStyle w:val="Texte"/>
        <w:spacing w:before="200" w:after="0" w:line="276" w:lineRule="auto"/>
        <w:ind w:left="0"/>
        <w:rPr>
          <w:rFonts w:cs="Arial"/>
          <w:szCs w:val="20"/>
        </w:rPr>
      </w:pPr>
      <w:r w:rsidRPr="00A00989">
        <w:rPr>
          <w:rFonts w:cs="Arial"/>
          <w:szCs w:val="20"/>
        </w:rPr>
        <w:t xml:space="preserve">Ainsi, les scénarios sélectionnés à l’issue de l’EPR pour l’unité P2R, </w:t>
      </w:r>
      <w:r>
        <w:rPr>
          <w:rFonts w:cs="Arial"/>
          <w:szCs w:val="20"/>
        </w:rPr>
        <w:t xml:space="preserve">c’est-à-dire susceptibles d’avoir des effets à l’extérieur </w:t>
      </w:r>
      <w:r w:rsidRPr="007C4F13">
        <w:rPr>
          <w:rFonts w:cs="Arial"/>
          <w:szCs w:val="20"/>
        </w:rPr>
        <w:t>d</w:t>
      </w:r>
      <w:r w:rsidR="0053336F" w:rsidRPr="007C4F13">
        <w:rPr>
          <w:rFonts w:cs="Arial"/>
          <w:szCs w:val="20"/>
        </w:rPr>
        <w:t>e la</w:t>
      </w:r>
      <w:r w:rsidR="0053336F">
        <w:rPr>
          <w:rFonts w:cs="Arial"/>
          <w:szCs w:val="20"/>
        </w:rPr>
        <w:t xml:space="preserve"> </w:t>
      </w:r>
      <w:r w:rsidR="0053336F" w:rsidRPr="007C4F13">
        <w:rPr>
          <w:rFonts w:cs="Arial"/>
          <w:szCs w:val="20"/>
        </w:rPr>
        <w:t>plateforme</w:t>
      </w:r>
      <w:r w:rsidRPr="00A00989">
        <w:rPr>
          <w:rFonts w:cs="Arial"/>
          <w:szCs w:val="20"/>
        </w:rPr>
        <w:t>, concernent ces équipements (H3001, C3001/D3001).</w:t>
      </w:r>
      <w:r w:rsidR="00A83186">
        <w:rPr>
          <w:rFonts w:cs="Arial"/>
          <w:szCs w:val="20"/>
        </w:rPr>
        <w:t xml:space="preserve"> Il est rappelé que l’unité P2R est localisée à plus de 300 mètres des limites de la plateforme.</w:t>
      </w:r>
    </w:p>
    <w:p w14:paraId="47A9CAFC" w14:textId="54E50323" w:rsidR="00A00989" w:rsidRDefault="00A00989" w:rsidP="00A00989">
      <w:pPr>
        <w:pStyle w:val="Texte"/>
        <w:spacing w:before="200" w:after="0" w:line="276" w:lineRule="auto"/>
        <w:ind w:left="0"/>
        <w:rPr>
          <w:rFonts w:cs="Arial"/>
          <w:szCs w:val="20"/>
        </w:rPr>
      </w:pPr>
      <w:r>
        <w:rPr>
          <w:rFonts w:cs="Arial"/>
          <w:szCs w:val="20"/>
        </w:rPr>
        <w:t>Les conséquences étudiées concernent la dispersion inflammable, l’UVCE, le jet enflammé et/ou le feu de nappe.</w:t>
      </w:r>
    </w:p>
    <w:p w14:paraId="1FFA2FA7" w14:textId="77777777" w:rsidR="00B7630C" w:rsidRDefault="00A00989" w:rsidP="00A00989">
      <w:pPr>
        <w:pStyle w:val="Texte"/>
        <w:spacing w:before="200" w:after="0" w:line="276" w:lineRule="auto"/>
        <w:ind w:left="0"/>
        <w:rPr>
          <w:rFonts w:cs="Arial"/>
          <w:szCs w:val="20"/>
        </w:rPr>
      </w:pPr>
      <w:r>
        <w:rPr>
          <w:rFonts w:cs="Arial"/>
          <w:szCs w:val="20"/>
        </w:rPr>
        <w:t>Dans la phase de modélisation des scénarios, il ressort qu’aucune</w:t>
      </w:r>
      <w:r w:rsidRPr="00A00989">
        <w:rPr>
          <w:rFonts w:cs="Arial"/>
          <w:szCs w:val="20"/>
        </w:rPr>
        <w:t xml:space="preserve"> distance calculée pour les effets irréversibles (</w:t>
      </w:r>
      <w:r>
        <w:rPr>
          <w:rFonts w:cs="Arial"/>
          <w:szCs w:val="20"/>
        </w:rPr>
        <w:t>donc</w:t>
      </w:r>
      <w:r w:rsidRPr="00A00989">
        <w:rPr>
          <w:rFonts w:cs="Arial"/>
          <w:szCs w:val="20"/>
        </w:rPr>
        <w:t xml:space="preserve"> les effets létaux) ne sort des limites de la plateforme.</w:t>
      </w:r>
      <w:r>
        <w:rPr>
          <w:rFonts w:cs="Arial"/>
          <w:szCs w:val="20"/>
        </w:rPr>
        <w:t xml:space="preserve"> C</w:t>
      </w:r>
      <w:r w:rsidRPr="00A00989">
        <w:rPr>
          <w:rFonts w:cs="Arial"/>
          <w:szCs w:val="20"/>
        </w:rPr>
        <w:t xml:space="preserve">es scénarios </w:t>
      </w:r>
      <w:r>
        <w:rPr>
          <w:rFonts w:cs="Arial"/>
          <w:szCs w:val="20"/>
        </w:rPr>
        <w:t>de</w:t>
      </w:r>
      <w:r w:rsidRPr="00A00989">
        <w:rPr>
          <w:rFonts w:cs="Arial"/>
          <w:szCs w:val="20"/>
        </w:rPr>
        <w:t xml:space="preserve"> l’unité P2R n’engendrent pas d’effets dominos sur les équipements des installations voisines, dont le Gas Plant de TOTAL RAFFINAGE FRANCE.</w:t>
      </w:r>
    </w:p>
    <w:p w14:paraId="49948392" w14:textId="2DD42331" w:rsidR="00A00989" w:rsidRDefault="00A00989" w:rsidP="00A00989">
      <w:pPr>
        <w:pStyle w:val="Texte"/>
        <w:spacing w:before="200" w:after="0" w:line="276" w:lineRule="auto"/>
        <w:ind w:left="0"/>
        <w:rPr>
          <w:rFonts w:cs="Arial"/>
          <w:szCs w:val="20"/>
        </w:rPr>
      </w:pPr>
      <w:r>
        <w:rPr>
          <w:rFonts w:cs="Arial"/>
          <w:szCs w:val="20"/>
        </w:rPr>
        <w:t xml:space="preserve">A noter que l’étude de dangers a été complétée par le scénario </w:t>
      </w:r>
      <w:r w:rsidR="00A83186">
        <w:rPr>
          <w:rFonts w:cs="Arial"/>
          <w:szCs w:val="20"/>
        </w:rPr>
        <w:t>d</w:t>
      </w:r>
      <w:r w:rsidR="00A83186" w:rsidRPr="00A83186">
        <w:rPr>
          <w:rFonts w:cs="Arial"/>
          <w:szCs w:val="20"/>
        </w:rPr>
        <w:t>e remplissage de l’unité P2R par un nuage de gaz provenant d’une unité voisine (cas de l’UVCE déporté)</w:t>
      </w:r>
      <w:r w:rsidR="00A83186">
        <w:rPr>
          <w:rFonts w:cs="Arial"/>
          <w:szCs w:val="20"/>
        </w:rPr>
        <w:t xml:space="preserve"> et par le scénario d’explosion du four H3001 ; ces scénarios complémentaires n’ont pas d’effets à l’extérieur de la plateforme.</w:t>
      </w:r>
      <w:r w:rsidR="00B7630C">
        <w:rPr>
          <w:rFonts w:cs="Arial"/>
          <w:szCs w:val="20"/>
        </w:rPr>
        <w:t xml:space="preserve"> Les fiches modélisations et les cartographies des effets correspondant à ces scénarios sont jointes en annexe.</w:t>
      </w:r>
    </w:p>
    <w:p w14:paraId="6A7FB30C" w14:textId="376145D4" w:rsidR="00A83186" w:rsidRDefault="00A83186" w:rsidP="00A00989">
      <w:pPr>
        <w:pStyle w:val="Texte"/>
        <w:spacing w:before="200" w:after="0" w:line="276" w:lineRule="auto"/>
        <w:ind w:left="0"/>
        <w:rPr>
          <w:rFonts w:cs="Arial"/>
          <w:szCs w:val="20"/>
        </w:rPr>
      </w:pPr>
      <w:r>
        <w:rPr>
          <w:rFonts w:cs="Arial"/>
          <w:szCs w:val="20"/>
        </w:rPr>
        <w:t>Sur la base de ces éléments, considérant que les scénarios sélectionnés concernent les potentiels de dangers les plus importants, il est assumé que tous les autres scénarios de l’unité P2R n’auront pas d’effets à l’extérieur de la plateforme, ni directement, ni par effet domino.</w:t>
      </w:r>
    </w:p>
    <w:p w14:paraId="5899A344" w14:textId="583766A6" w:rsidR="00A83186" w:rsidRDefault="00A83186" w:rsidP="0076690A">
      <w:pPr>
        <w:pStyle w:val="Texte"/>
        <w:numPr>
          <w:ilvl w:val="0"/>
          <w:numId w:val="27"/>
        </w:numPr>
        <w:spacing w:before="200" w:after="0" w:line="276" w:lineRule="auto"/>
        <w:ind w:left="284" w:hanging="284"/>
        <w:rPr>
          <w:rFonts w:cs="Arial"/>
          <w:b/>
          <w:szCs w:val="20"/>
        </w:rPr>
      </w:pPr>
      <w:r w:rsidRPr="00A83186">
        <w:rPr>
          <w:rFonts w:cs="Arial"/>
          <w:b/>
          <w:szCs w:val="20"/>
        </w:rPr>
        <w:t xml:space="preserve">Scénarios </w:t>
      </w:r>
      <w:r w:rsidR="0076690A">
        <w:rPr>
          <w:rFonts w:cs="Arial"/>
          <w:b/>
          <w:szCs w:val="20"/>
        </w:rPr>
        <w:t>sur les</w:t>
      </w:r>
      <w:r w:rsidRPr="00A83186">
        <w:rPr>
          <w:rFonts w:cs="Arial"/>
          <w:b/>
          <w:szCs w:val="20"/>
        </w:rPr>
        <w:t xml:space="preserve"> </w:t>
      </w:r>
      <w:r w:rsidR="0076690A" w:rsidRPr="0076690A">
        <w:rPr>
          <w:rFonts w:cs="Arial"/>
          <w:b/>
          <w:szCs w:val="20"/>
        </w:rPr>
        <w:t>tuyauteries</w:t>
      </w:r>
      <w:r w:rsidR="0076690A">
        <w:rPr>
          <w:rFonts w:cs="Arial"/>
          <w:b/>
          <w:szCs w:val="20"/>
        </w:rPr>
        <w:t xml:space="preserve"> </w:t>
      </w:r>
      <w:r w:rsidR="0076690A" w:rsidRPr="0076690A">
        <w:rPr>
          <w:rFonts w:cs="Arial"/>
          <w:b/>
          <w:szCs w:val="20"/>
        </w:rPr>
        <w:t>entre les installations d’</w:t>
      </w:r>
      <w:proofErr w:type="spellStart"/>
      <w:r w:rsidR="0076690A" w:rsidRPr="0076690A">
        <w:rPr>
          <w:rFonts w:cs="Arial"/>
          <w:b/>
          <w:szCs w:val="20"/>
        </w:rPr>
        <w:t>Ecoslops</w:t>
      </w:r>
      <w:proofErr w:type="spellEnd"/>
      <w:r w:rsidR="0076690A" w:rsidRPr="0076690A">
        <w:rPr>
          <w:rFonts w:cs="Arial"/>
          <w:b/>
          <w:szCs w:val="20"/>
        </w:rPr>
        <w:t xml:space="preserve"> et les postes de chargement ou déchargement de camions</w:t>
      </w:r>
    </w:p>
    <w:p w14:paraId="3E903814" w14:textId="47A5A9B7" w:rsidR="0076690A" w:rsidRDefault="0076690A" w:rsidP="0076690A">
      <w:pPr>
        <w:pStyle w:val="Texte"/>
        <w:spacing w:before="200" w:after="0" w:line="276" w:lineRule="auto"/>
        <w:ind w:left="0"/>
        <w:rPr>
          <w:rFonts w:cs="Arial"/>
          <w:szCs w:val="20"/>
        </w:rPr>
      </w:pPr>
      <w:r w:rsidRPr="0076690A">
        <w:rPr>
          <w:rFonts w:cs="Arial"/>
          <w:szCs w:val="20"/>
        </w:rPr>
        <w:t>Les tuyauteries entre les installations d’</w:t>
      </w:r>
      <w:proofErr w:type="spellStart"/>
      <w:r w:rsidRPr="0076690A">
        <w:rPr>
          <w:rFonts w:cs="Arial"/>
          <w:szCs w:val="20"/>
        </w:rPr>
        <w:t>Ecoslops</w:t>
      </w:r>
      <w:proofErr w:type="spellEnd"/>
      <w:r w:rsidRPr="0076690A">
        <w:rPr>
          <w:rFonts w:cs="Arial"/>
          <w:szCs w:val="20"/>
        </w:rPr>
        <w:t xml:space="preserve"> (</w:t>
      </w:r>
      <w:r>
        <w:rPr>
          <w:rFonts w:cs="Arial"/>
          <w:szCs w:val="20"/>
        </w:rPr>
        <w:t xml:space="preserve">stockages atmosphériques et unité </w:t>
      </w:r>
      <w:r w:rsidRPr="0076690A">
        <w:rPr>
          <w:rFonts w:cs="Arial"/>
          <w:szCs w:val="20"/>
        </w:rPr>
        <w:t>P2R) et les postes de chargement/déchargement camions</w:t>
      </w:r>
      <w:r>
        <w:rPr>
          <w:rFonts w:cs="Arial"/>
          <w:szCs w:val="20"/>
        </w:rPr>
        <w:t>, véhiculant les hydrocarbures (</w:t>
      </w:r>
      <w:proofErr w:type="spellStart"/>
      <w:r>
        <w:rPr>
          <w:rFonts w:cs="Arial"/>
          <w:szCs w:val="20"/>
        </w:rPr>
        <w:t>slops</w:t>
      </w:r>
      <w:proofErr w:type="spellEnd"/>
      <w:r>
        <w:rPr>
          <w:rFonts w:cs="Arial"/>
          <w:szCs w:val="20"/>
        </w:rPr>
        <w:t>, essence, gazole, fioul lourd et bitume),</w:t>
      </w:r>
      <w:r w:rsidRPr="0076690A">
        <w:rPr>
          <w:rFonts w:cs="Arial"/>
          <w:szCs w:val="20"/>
        </w:rPr>
        <w:t xml:space="preserve"> cheminent à l’écart des autres unités de la plateforme, hors </w:t>
      </w:r>
      <w:r>
        <w:rPr>
          <w:rFonts w:cs="Arial"/>
          <w:szCs w:val="20"/>
        </w:rPr>
        <w:t>R</w:t>
      </w:r>
      <w:r w:rsidRPr="0076690A">
        <w:rPr>
          <w:rFonts w:cs="Arial"/>
          <w:szCs w:val="20"/>
        </w:rPr>
        <w:t xml:space="preserve">éseaux et </w:t>
      </w:r>
      <w:r>
        <w:rPr>
          <w:rFonts w:cs="Arial"/>
          <w:szCs w:val="20"/>
        </w:rPr>
        <w:t>installations d’Expéditions (</w:t>
      </w:r>
      <w:r w:rsidRPr="0076690A">
        <w:rPr>
          <w:rFonts w:cs="Arial"/>
          <w:szCs w:val="20"/>
        </w:rPr>
        <w:t>PCC</w:t>
      </w:r>
      <w:r>
        <w:rPr>
          <w:rFonts w:cs="Arial"/>
          <w:szCs w:val="20"/>
        </w:rPr>
        <w:t>) de TOTAL</w:t>
      </w:r>
      <w:r w:rsidRPr="0076690A">
        <w:rPr>
          <w:rFonts w:cs="Arial"/>
          <w:szCs w:val="20"/>
        </w:rPr>
        <w:t>.</w:t>
      </w:r>
      <w:r w:rsidRPr="0076690A">
        <w:t xml:space="preserve"> </w:t>
      </w:r>
      <w:r w:rsidRPr="0076690A">
        <w:rPr>
          <w:rFonts w:cs="Arial"/>
          <w:szCs w:val="20"/>
        </w:rPr>
        <w:t xml:space="preserve">Ces canalisations sont </w:t>
      </w:r>
      <w:r>
        <w:rPr>
          <w:rFonts w:cs="Arial"/>
          <w:szCs w:val="20"/>
        </w:rPr>
        <w:t xml:space="preserve">également </w:t>
      </w:r>
      <w:r w:rsidRPr="0076690A">
        <w:rPr>
          <w:rFonts w:cs="Arial"/>
          <w:szCs w:val="20"/>
        </w:rPr>
        <w:t xml:space="preserve">éloignées des limites </w:t>
      </w:r>
      <w:r>
        <w:rPr>
          <w:rFonts w:cs="Arial"/>
          <w:szCs w:val="20"/>
        </w:rPr>
        <w:t>de la plateforme</w:t>
      </w:r>
      <w:r w:rsidRPr="0076690A">
        <w:rPr>
          <w:rFonts w:cs="Arial"/>
          <w:szCs w:val="20"/>
        </w:rPr>
        <w:t xml:space="preserve"> (&gt; 100 mètres</w:t>
      </w:r>
      <w:r>
        <w:rPr>
          <w:rFonts w:cs="Arial"/>
          <w:szCs w:val="20"/>
        </w:rPr>
        <w:t xml:space="preserve"> entre le poste de déchargement des </w:t>
      </w:r>
      <w:proofErr w:type="spellStart"/>
      <w:r>
        <w:rPr>
          <w:rFonts w:cs="Arial"/>
          <w:szCs w:val="20"/>
        </w:rPr>
        <w:t>slops</w:t>
      </w:r>
      <w:proofErr w:type="spellEnd"/>
      <w:r>
        <w:rPr>
          <w:rFonts w:cs="Arial"/>
          <w:szCs w:val="20"/>
        </w:rPr>
        <w:t xml:space="preserve"> et </w:t>
      </w:r>
      <w:r w:rsidR="00177A22">
        <w:rPr>
          <w:rFonts w:cs="Arial"/>
          <w:szCs w:val="20"/>
        </w:rPr>
        <w:t>la limite de la plateforme</w:t>
      </w:r>
      <w:r w:rsidRPr="0076690A">
        <w:rPr>
          <w:rFonts w:cs="Arial"/>
          <w:szCs w:val="20"/>
        </w:rPr>
        <w:t>).</w:t>
      </w:r>
    </w:p>
    <w:p w14:paraId="34ADE828" w14:textId="77777777" w:rsidR="00B7630C" w:rsidRDefault="00B7630C" w:rsidP="0076690A">
      <w:pPr>
        <w:pStyle w:val="Texte"/>
        <w:spacing w:before="200" w:after="0" w:line="276" w:lineRule="auto"/>
        <w:ind w:left="0"/>
        <w:rPr>
          <w:rFonts w:cs="Arial"/>
          <w:szCs w:val="20"/>
        </w:rPr>
      </w:pPr>
      <w:r>
        <w:rPr>
          <w:rFonts w:cs="Arial"/>
          <w:szCs w:val="20"/>
        </w:rPr>
        <w:t>Dans la phase d’EPR, les scénarios correspondant à ces tuyauteries ont été jugés comme n’ayant pas d’effets externes.</w:t>
      </w:r>
    </w:p>
    <w:p w14:paraId="5FC97F46" w14:textId="1B6932F2" w:rsidR="00083F87" w:rsidRDefault="00083F87" w:rsidP="0076690A">
      <w:pPr>
        <w:pStyle w:val="Texte"/>
        <w:spacing w:before="200" w:after="0" w:line="276" w:lineRule="auto"/>
        <w:ind w:left="0"/>
        <w:rPr>
          <w:rFonts w:cs="Arial"/>
          <w:szCs w:val="20"/>
        </w:rPr>
      </w:pPr>
      <w:r>
        <w:rPr>
          <w:rFonts w:cs="Arial"/>
          <w:szCs w:val="20"/>
        </w:rPr>
        <w:t>Un scén</w:t>
      </w:r>
      <w:r w:rsidR="007C5C80">
        <w:rPr>
          <w:rFonts w:cs="Arial"/>
          <w:szCs w:val="20"/>
        </w:rPr>
        <w:t xml:space="preserve">ario complémentaire est étudié </w:t>
      </w:r>
      <w:r>
        <w:rPr>
          <w:rFonts w:cs="Arial"/>
          <w:szCs w:val="20"/>
        </w:rPr>
        <w:t>concernant ces tuyauteries</w:t>
      </w:r>
      <w:r w:rsidR="00B7630C">
        <w:rPr>
          <w:rFonts w:cs="Arial"/>
          <w:szCs w:val="20"/>
        </w:rPr>
        <w:t>, dans ce document, afin de valider ce point</w:t>
      </w:r>
      <w:r>
        <w:rPr>
          <w:rFonts w:cs="Arial"/>
          <w:szCs w:val="20"/>
        </w:rPr>
        <w:t>.</w:t>
      </w:r>
      <w:r w:rsidR="007C5C80">
        <w:rPr>
          <w:rFonts w:cs="Arial"/>
          <w:szCs w:val="20"/>
        </w:rPr>
        <w:t xml:space="preserve"> La fiche de modélisation ainsi que les cartographies des effets sont joint</w:t>
      </w:r>
      <w:r w:rsidR="00B7630C">
        <w:rPr>
          <w:rFonts w:cs="Arial"/>
          <w:szCs w:val="20"/>
        </w:rPr>
        <w:t>es</w:t>
      </w:r>
      <w:r w:rsidR="007C5C80">
        <w:rPr>
          <w:rFonts w:cs="Arial"/>
          <w:szCs w:val="20"/>
        </w:rPr>
        <w:t xml:space="preserve"> en annexe.</w:t>
      </w:r>
    </w:p>
    <w:p w14:paraId="76D638B9" w14:textId="79A81F1B" w:rsidR="0023281E" w:rsidRDefault="0023281E" w:rsidP="0076690A">
      <w:pPr>
        <w:pStyle w:val="Texte"/>
        <w:spacing w:before="200" w:after="0" w:line="276" w:lineRule="auto"/>
        <w:ind w:left="0"/>
        <w:rPr>
          <w:rFonts w:cs="Arial"/>
          <w:szCs w:val="20"/>
        </w:rPr>
      </w:pPr>
      <w:r>
        <w:rPr>
          <w:rFonts w:cs="Arial"/>
          <w:szCs w:val="20"/>
        </w:rPr>
        <w:t>Les distances d’effets des phénomènes dangereux sont récapitulées dans le tableau suivant :</w:t>
      </w:r>
    </w:p>
    <w:p w14:paraId="73C5CBF1" w14:textId="77777777" w:rsidR="0023281E" w:rsidRPr="0023281E" w:rsidRDefault="0023281E" w:rsidP="0076690A">
      <w:pPr>
        <w:pStyle w:val="Texte"/>
        <w:spacing w:before="200" w:after="0" w:line="276" w:lineRule="auto"/>
        <w:ind w:left="0"/>
        <w:rPr>
          <w:rFonts w:cs="Arial"/>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1774"/>
        <w:gridCol w:w="1207"/>
        <w:gridCol w:w="1020"/>
        <w:gridCol w:w="1020"/>
        <w:gridCol w:w="1020"/>
        <w:gridCol w:w="1054"/>
      </w:tblGrid>
      <w:tr w:rsidR="0089628F" w:rsidRPr="0089628F" w14:paraId="4CB64D11" w14:textId="77777777" w:rsidTr="0089628F">
        <w:trPr>
          <w:trHeight w:val="20"/>
        </w:trPr>
        <w:tc>
          <w:tcPr>
            <w:tcW w:w="1520" w:type="pct"/>
            <w:shd w:val="clear" w:color="auto" w:fill="95B3D7" w:themeFill="accent1" w:themeFillTint="99"/>
            <w:vAlign w:val="center"/>
            <w:hideMark/>
          </w:tcPr>
          <w:p w14:paraId="47D8C39E" w14:textId="77777777" w:rsidR="0023281E" w:rsidRPr="0023281E" w:rsidRDefault="0023281E" w:rsidP="0023281E">
            <w:pPr>
              <w:rPr>
                <w:rFonts w:ascii="Arial" w:hAnsi="Arial" w:cs="Arial"/>
                <w:b/>
                <w:bCs/>
                <w:sz w:val="18"/>
                <w:szCs w:val="18"/>
              </w:rPr>
            </w:pPr>
            <w:r w:rsidRPr="0023281E">
              <w:rPr>
                <w:rFonts w:ascii="Arial" w:hAnsi="Arial" w:cs="Arial"/>
                <w:b/>
                <w:bCs/>
                <w:sz w:val="18"/>
                <w:szCs w:val="18"/>
              </w:rPr>
              <w:t>Intitulé du scénario</w:t>
            </w:r>
          </w:p>
        </w:tc>
        <w:tc>
          <w:tcPr>
            <w:tcW w:w="870" w:type="pct"/>
            <w:shd w:val="clear" w:color="auto" w:fill="95B3D7" w:themeFill="accent1" w:themeFillTint="99"/>
            <w:vAlign w:val="center"/>
            <w:hideMark/>
          </w:tcPr>
          <w:p w14:paraId="61D569D9" w14:textId="77777777" w:rsidR="0023281E" w:rsidRPr="0023281E" w:rsidRDefault="0023281E" w:rsidP="0023281E">
            <w:pPr>
              <w:jc w:val="center"/>
              <w:rPr>
                <w:rFonts w:ascii="Arial" w:hAnsi="Arial" w:cs="Arial"/>
                <w:b/>
                <w:bCs/>
                <w:sz w:val="18"/>
                <w:szCs w:val="18"/>
              </w:rPr>
            </w:pPr>
            <w:r w:rsidRPr="0023281E">
              <w:rPr>
                <w:rFonts w:ascii="Arial" w:hAnsi="Arial" w:cs="Arial"/>
                <w:b/>
                <w:bCs/>
                <w:sz w:val="18"/>
                <w:szCs w:val="18"/>
              </w:rPr>
              <w:t>Phénomène Dangereux</w:t>
            </w:r>
          </w:p>
        </w:tc>
        <w:tc>
          <w:tcPr>
            <w:tcW w:w="592" w:type="pct"/>
            <w:shd w:val="clear" w:color="auto" w:fill="95B3D7" w:themeFill="accent1" w:themeFillTint="99"/>
            <w:vAlign w:val="center"/>
            <w:hideMark/>
          </w:tcPr>
          <w:p w14:paraId="7213B0D2" w14:textId="77777777" w:rsidR="0023281E" w:rsidRPr="0023281E" w:rsidRDefault="0023281E" w:rsidP="0023281E">
            <w:pPr>
              <w:jc w:val="center"/>
              <w:rPr>
                <w:rFonts w:ascii="Arial" w:hAnsi="Arial" w:cs="Arial"/>
                <w:b/>
                <w:bCs/>
                <w:sz w:val="18"/>
                <w:szCs w:val="18"/>
              </w:rPr>
            </w:pPr>
            <w:r w:rsidRPr="0023281E">
              <w:rPr>
                <w:rFonts w:ascii="Arial" w:hAnsi="Arial" w:cs="Arial"/>
                <w:b/>
                <w:bCs/>
                <w:sz w:val="18"/>
                <w:szCs w:val="18"/>
              </w:rPr>
              <w:t>Effet</w:t>
            </w:r>
          </w:p>
        </w:tc>
        <w:tc>
          <w:tcPr>
            <w:tcW w:w="500" w:type="pct"/>
            <w:shd w:val="clear" w:color="auto" w:fill="95B3D7" w:themeFill="accent1" w:themeFillTint="99"/>
            <w:vAlign w:val="center"/>
            <w:hideMark/>
          </w:tcPr>
          <w:p w14:paraId="00190876" w14:textId="77777777" w:rsidR="0023281E" w:rsidRPr="0023281E" w:rsidRDefault="0023281E" w:rsidP="0023281E">
            <w:pPr>
              <w:jc w:val="center"/>
              <w:rPr>
                <w:rFonts w:ascii="Arial" w:hAnsi="Arial" w:cs="Arial"/>
                <w:b/>
                <w:bCs/>
                <w:sz w:val="18"/>
                <w:szCs w:val="18"/>
              </w:rPr>
            </w:pPr>
            <w:r w:rsidRPr="0023281E">
              <w:rPr>
                <w:rFonts w:ascii="Arial" w:hAnsi="Arial" w:cs="Arial"/>
                <w:b/>
                <w:bCs/>
                <w:sz w:val="18"/>
                <w:szCs w:val="18"/>
              </w:rPr>
              <w:t>Distance SELS</w:t>
            </w:r>
          </w:p>
        </w:tc>
        <w:tc>
          <w:tcPr>
            <w:tcW w:w="500" w:type="pct"/>
            <w:shd w:val="clear" w:color="auto" w:fill="95B3D7" w:themeFill="accent1" w:themeFillTint="99"/>
            <w:vAlign w:val="center"/>
            <w:hideMark/>
          </w:tcPr>
          <w:p w14:paraId="5B66406A" w14:textId="77777777" w:rsidR="0023281E" w:rsidRPr="0023281E" w:rsidRDefault="0023281E" w:rsidP="0023281E">
            <w:pPr>
              <w:jc w:val="center"/>
              <w:rPr>
                <w:rFonts w:ascii="Arial" w:hAnsi="Arial" w:cs="Arial"/>
                <w:b/>
                <w:bCs/>
                <w:sz w:val="18"/>
                <w:szCs w:val="18"/>
              </w:rPr>
            </w:pPr>
            <w:r w:rsidRPr="0023281E">
              <w:rPr>
                <w:rFonts w:ascii="Arial" w:hAnsi="Arial" w:cs="Arial"/>
                <w:b/>
                <w:bCs/>
                <w:sz w:val="18"/>
                <w:szCs w:val="18"/>
              </w:rPr>
              <w:t>Distance SEL</w:t>
            </w:r>
          </w:p>
        </w:tc>
        <w:tc>
          <w:tcPr>
            <w:tcW w:w="500" w:type="pct"/>
            <w:shd w:val="clear" w:color="auto" w:fill="95B3D7" w:themeFill="accent1" w:themeFillTint="99"/>
            <w:vAlign w:val="center"/>
            <w:hideMark/>
          </w:tcPr>
          <w:p w14:paraId="7CC204C6" w14:textId="77777777" w:rsidR="0023281E" w:rsidRPr="0023281E" w:rsidRDefault="0023281E" w:rsidP="0023281E">
            <w:pPr>
              <w:jc w:val="center"/>
              <w:rPr>
                <w:rFonts w:ascii="Arial" w:hAnsi="Arial" w:cs="Arial"/>
                <w:b/>
                <w:bCs/>
                <w:sz w:val="18"/>
                <w:szCs w:val="18"/>
              </w:rPr>
            </w:pPr>
            <w:r w:rsidRPr="0023281E">
              <w:rPr>
                <w:rFonts w:ascii="Arial" w:hAnsi="Arial" w:cs="Arial"/>
                <w:b/>
                <w:bCs/>
                <w:sz w:val="18"/>
                <w:szCs w:val="18"/>
              </w:rPr>
              <w:t>Distance SEI</w:t>
            </w:r>
          </w:p>
        </w:tc>
        <w:tc>
          <w:tcPr>
            <w:tcW w:w="517" w:type="pct"/>
            <w:shd w:val="clear" w:color="auto" w:fill="95B3D7" w:themeFill="accent1" w:themeFillTint="99"/>
            <w:vAlign w:val="center"/>
            <w:hideMark/>
          </w:tcPr>
          <w:p w14:paraId="7CD684EC" w14:textId="18965939" w:rsidR="0023281E" w:rsidRPr="0023281E" w:rsidRDefault="0023281E" w:rsidP="0023281E">
            <w:pPr>
              <w:jc w:val="center"/>
              <w:rPr>
                <w:rFonts w:ascii="Arial" w:hAnsi="Arial" w:cs="Arial"/>
                <w:b/>
                <w:bCs/>
                <w:sz w:val="18"/>
                <w:szCs w:val="18"/>
              </w:rPr>
            </w:pPr>
            <w:r w:rsidRPr="0089628F">
              <w:rPr>
                <w:rFonts w:ascii="Arial" w:hAnsi="Arial" w:cs="Arial"/>
                <w:b/>
                <w:bCs/>
                <w:sz w:val="18"/>
                <w:szCs w:val="18"/>
              </w:rPr>
              <w:t>Effets sortants ?</w:t>
            </w:r>
          </w:p>
        </w:tc>
      </w:tr>
      <w:tr w:rsidR="0023281E" w:rsidRPr="0023281E" w14:paraId="51084C04" w14:textId="77777777" w:rsidTr="00B7630C">
        <w:trPr>
          <w:trHeight w:val="338"/>
        </w:trPr>
        <w:tc>
          <w:tcPr>
            <w:tcW w:w="1520" w:type="pct"/>
            <w:vMerge w:val="restart"/>
            <w:shd w:val="clear" w:color="000000" w:fill="auto"/>
            <w:vAlign w:val="center"/>
          </w:tcPr>
          <w:p w14:paraId="08B75E45" w14:textId="5E217CBA" w:rsidR="0023281E" w:rsidRPr="0023281E" w:rsidRDefault="0023281E" w:rsidP="0023281E">
            <w:pPr>
              <w:rPr>
                <w:rFonts w:ascii="Arial" w:hAnsi="Arial" w:cs="Arial"/>
                <w:sz w:val="18"/>
                <w:szCs w:val="18"/>
              </w:rPr>
            </w:pPr>
            <w:r w:rsidRPr="0023281E">
              <w:rPr>
                <w:rFonts w:ascii="Arial" w:hAnsi="Arial" w:cs="Arial"/>
                <w:sz w:val="18"/>
                <w:szCs w:val="18"/>
              </w:rPr>
              <w:lastRenderedPageBreak/>
              <w:t>Rupture de tuyauterie entre les installations d’</w:t>
            </w:r>
            <w:proofErr w:type="spellStart"/>
            <w:r w:rsidRPr="0023281E">
              <w:rPr>
                <w:rFonts w:ascii="Arial" w:hAnsi="Arial" w:cs="Arial"/>
                <w:sz w:val="18"/>
                <w:szCs w:val="18"/>
              </w:rPr>
              <w:t>Ecoslops</w:t>
            </w:r>
            <w:proofErr w:type="spellEnd"/>
            <w:r w:rsidRPr="0023281E">
              <w:rPr>
                <w:rFonts w:ascii="Arial" w:hAnsi="Arial" w:cs="Arial"/>
                <w:sz w:val="18"/>
                <w:szCs w:val="18"/>
              </w:rPr>
              <w:t xml:space="preserve"> (stockages atmosphériques et unité P2R) et les postes de chargement/déchargement camions</w:t>
            </w:r>
          </w:p>
        </w:tc>
        <w:tc>
          <w:tcPr>
            <w:tcW w:w="870" w:type="pct"/>
            <w:shd w:val="clear" w:color="000000" w:fill="auto"/>
            <w:vAlign w:val="center"/>
            <w:hideMark/>
          </w:tcPr>
          <w:p w14:paraId="7DA82F6A" w14:textId="77777777" w:rsidR="0023281E" w:rsidRPr="0023281E" w:rsidRDefault="0023281E" w:rsidP="0023281E">
            <w:pPr>
              <w:jc w:val="center"/>
              <w:rPr>
                <w:rFonts w:ascii="Arial" w:hAnsi="Arial" w:cs="Arial"/>
                <w:sz w:val="18"/>
                <w:szCs w:val="18"/>
              </w:rPr>
            </w:pPr>
            <w:r w:rsidRPr="0023281E">
              <w:rPr>
                <w:rFonts w:ascii="Arial" w:hAnsi="Arial" w:cs="Arial"/>
                <w:sz w:val="18"/>
                <w:szCs w:val="18"/>
              </w:rPr>
              <w:t xml:space="preserve">Flash </w:t>
            </w:r>
            <w:proofErr w:type="spellStart"/>
            <w:r w:rsidRPr="0023281E">
              <w:rPr>
                <w:rFonts w:ascii="Arial" w:hAnsi="Arial" w:cs="Arial"/>
                <w:sz w:val="18"/>
                <w:szCs w:val="18"/>
              </w:rPr>
              <w:t>fire</w:t>
            </w:r>
            <w:proofErr w:type="spellEnd"/>
          </w:p>
        </w:tc>
        <w:tc>
          <w:tcPr>
            <w:tcW w:w="592" w:type="pct"/>
            <w:shd w:val="clear" w:color="000000" w:fill="auto"/>
            <w:vAlign w:val="center"/>
            <w:hideMark/>
          </w:tcPr>
          <w:p w14:paraId="234E14BA" w14:textId="77777777" w:rsidR="0023281E" w:rsidRPr="0023281E" w:rsidRDefault="0023281E" w:rsidP="0023281E">
            <w:pPr>
              <w:jc w:val="center"/>
              <w:rPr>
                <w:rFonts w:ascii="Arial" w:hAnsi="Arial" w:cs="Arial"/>
                <w:sz w:val="18"/>
                <w:szCs w:val="18"/>
              </w:rPr>
            </w:pPr>
            <w:r w:rsidRPr="0023281E">
              <w:rPr>
                <w:rFonts w:ascii="Arial" w:hAnsi="Arial" w:cs="Arial"/>
                <w:sz w:val="18"/>
                <w:szCs w:val="18"/>
              </w:rPr>
              <w:t>Thermique</w:t>
            </w:r>
          </w:p>
        </w:tc>
        <w:tc>
          <w:tcPr>
            <w:tcW w:w="500" w:type="pct"/>
            <w:shd w:val="clear" w:color="000000" w:fill="auto"/>
            <w:vAlign w:val="center"/>
          </w:tcPr>
          <w:p w14:paraId="7AB22EDD" w14:textId="63AF03E2" w:rsidR="0023281E" w:rsidRPr="0023281E" w:rsidRDefault="00B7630C" w:rsidP="0023281E">
            <w:pPr>
              <w:jc w:val="center"/>
              <w:rPr>
                <w:rFonts w:ascii="Arial" w:hAnsi="Arial" w:cs="Arial"/>
                <w:sz w:val="18"/>
                <w:szCs w:val="18"/>
              </w:rPr>
            </w:pPr>
            <w:r>
              <w:rPr>
                <w:rFonts w:ascii="Arial" w:hAnsi="Arial" w:cs="Arial"/>
                <w:sz w:val="18"/>
                <w:szCs w:val="18"/>
              </w:rPr>
              <w:t>35</w:t>
            </w:r>
          </w:p>
        </w:tc>
        <w:tc>
          <w:tcPr>
            <w:tcW w:w="500" w:type="pct"/>
            <w:shd w:val="clear" w:color="000000" w:fill="auto"/>
            <w:vAlign w:val="center"/>
          </w:tcPr>
          <w:p w14:paraId="20BCDD08" w14:textId="4C34E305" w:rsidR="0023281E" w:rsidRPr="0023281E" w:rsidRDefault="00B7630C" w:rsidP="0023281E">
            <w:pPr>
              <w:jc w:val="center"/>
              <w:rPr>
                <w:rFonts w:ascii="Arial" w:hAnsi="Arial" w:cs="Arial"/>
                <w:sz w:val="18"/>
                <w:szCs w:val="18"/>
              </w:rPr>
            </w:pPr>
            <w:r>
              <w:rPr>
                <w:rFonts w:ascii="Arial" w:hAnsi="Arial" w:cs="Arial"/>
                <w:sz w:val="18"/>
                <w:szCs w:val="18"/>
              </w:rPr>
              <w:t>35</w:t>
            </w:r>
          </w:p>
        </w:tc>
        <w:tc>
          <w:tcPr>
            <w:tcW w:w="500" w:type="pct"/>
            <w:shd w:val="clear" w:color="000000" w:fill="auto"/>
            <w:vAlign w:val="center"/>
          </w:tcPr>
          <w:p w14:paraId="0878426B" w14:textId="23F62291" w:rsidR="0023281E" w:rsidRPr="0023281E" w:rsidRDefault="00B7630C" w:rsidP="0023281E">
            <w:pPr>
              <w:jc w:val="center"/>
              <w:rPr>
                <w:rFonts w:ascii="Arial" w:hAnsi="Arial" w:cs="Arial"/>
                <w:sz w:val="18"/>
                <w:szCs w:val="18"/>
              </w:rPr>
            </w:pPr>
            <w:r>
              <w:rPr>
                <w:rFonts w:ascii="Arial" w:hAnsi="Arial" w:cs="Arial"/>
                <w:sz w:val="18"/>
                <w:szCs w:val="18"/>
              </w:rPr>
              <w:t>45</w:t>
            </w:r>
          </w:p>
        </w:tc>
        <w:tc>
          <w:tcPr>
            <w:tcW w:w="517" w:type="pct"/>
            <w:shd w:val="clear" w:color="000000" w:fill="auto"/>
            <w:vAlign w:val="center"/>
            <w:hideMark/>
          </w:tcPr>
          <w:p w14:paraId="65282B0C" w14:textId="5077E473" w:rsidR="0023281E" w:rsidRPr="0023281E" w:rsidRDefault="0023281E" w:rsidP="0023281E">
            <w:pPr>
              <w:jc w:val="center"/>
              <w:rPr>
                <w:rFonts w:ascii="Arial" w:hAnsi="Arial" w:cs="Arial"/>
                <w:sz w:val="18"/>
                <w:szCs w:val="18"/>
              </w:rPr>
            </w:pPr>
            <w:r>
              <w:rPr>
                <w:rFonts w:ascii="Arial" w:hAnsi="Arial" w:cs="Arial"/>
                <w:sz w:val="18"/>
                <w:szCs w:val="18"/>
              </w:rPr>
              <w:t>NON</w:t>
            </w:r>
          </w:p>
        </w:tc>
      </w:tr>
      <w:tr w:rsidR="0023281E" w:rsidRPr="0023281E" w14:paraId="7BB24996" w14:textId="77777777" w:rsidTr="00B7630C">
        <w:trPr>
          <w:trHeight w:val="338"/>
        </w:trPr>
        <w:tc>
          <w:tcPr>
            <w:tcW w:w="1520" w:type="pct"/>
            <w:vMerge/>
            <w:shd w:val="clear" w:color="000000" w:fill="auto"/>
            <w:vAlign w:val="center"/>
          </w:tcPr>
          <w:p w14:paraId="46591B6E" w14:textId="6D394835" w:rsidR="0023281E" w:rsidRPr="0023281E" w:rsidRDefault="0023281E" w:rsidP="0023281E">
            <w:pPr>
              <w:rPr>
                <w:rFonts w:ascii="Arial" w:hAnsi="Arial" w:cs="Arial"/>
                <w:sz w:val="18"/>
                <w:szCs w:val="18"/>
              </w:rPr>
            </w:pPr>
          </w:p>
        </w:tc>
        <w:tc>
          <w:tcPr>
            <w:tcW w:w="870" w:type="pct"/>
            <w:shd w:val="clear" w:color="000000" w:fill="auto"/>
            <w:vAlign w:val="center"/>
            <w:hideMark/>
          </w:tcPr>
          <w:p w14:paraId="637E2CF7" w14:textId="1F32167F" w:rsidR="0023281E" w:rsidRPr="0023281E" w:rsidRDefault="0023281E" w:rsidP="0023281E">
            <w:pPr>
              <w:jc w:val="center"/>
              <w:rPr>
                <w:rFonts w:ascii="Arial" w:hAnsi="Arial" w:cs="Arial"/>
                <w:sz w:val="18"/>
                <w:szCs w:val="18"/>
              </w:rPr>
            </w:pPr>
            <w:r w:rsidRPr="0023281E">
              <w:rPr>
                <w:rFonts w:ascii="Arial" w:hAnsi="Arial" w:cs="Arial"/>
                <w:sz w:val="18"/>
                <w:szCs w:val="18"/>
              </w:rPr>
              <w:t>UVCE</w:t>
            </w:r>
            <w:r w:rsidR="00B7630C">
              <w:rPr>
                <w:rFonts w:ascii="Arial" w:hAnsi="Arial" w:cs="Arial"/>
                <w:sz w:val="18"/>
                <w:szCs w:val="18"/>
              </w:rPr>
              <w:br/>
            </w:r>
            <w:r w:rsidR="00B7630C" w:rsidRPr="00B7630C">
              <w:rPr>
                <w:rFonts w:ascii="Arial" w:hAnsi="Arial" w:cs="Arial"/>
                <w:sz w:val="16"/>
                <w:szCs w:val="18"/>
              </w:rPr>
              <w:t>Champ libre</w:t>
            </w:r>
          </w:p>
        </w:tc>
        <w:tc>
          <w:tcPr>
            <w:tcW w:w="592" w:type="pct"/>
            <w:shd w:val="clear" w:color="000000" w:fill="auto"/>
            <w:vAlign w:val="center"/>
            <w:hideMark/>
          </w:tcPr>
          <w:p w14:paraId="7EF8E0E9" w14:textId="77777777" w:rsidR="0023281E" w:rsidRPr="0023281E" w:rsidRDefault="0023281E" w:rsidP="0023281E">
            <w:pPr>
              <w:jc w:val="center"/>
              <w:rPr>
                <w:rFonts w:ascii="Arial" w:hAnsi="Arial" w:cs="Arial"/>
                <w:sz w:val="18"/>
                <w:szCs w:val="18"/>
              </w:rPr>
            </w:pPr>
            <w:r w:rsidRPr="0023281E">
              <w:rPr>
                <w:rFonts w:ascii="Arial" w:hAnsi="Arial" w:cs="Arial"/>
                <w:sz w:val="18"/>
                <w:szCs w:val="18"/>
              </w:rPr>
              <w:t>Surpression</w:t>
            </w:r>
          </w:p>
        </w:tc>
        <w:tc>
          <w:tcPr>
            <w:tcW w:w="500" w:type="pct"/>
            <w:shd w:val="clear" w:color="000000" w:fill="auto"/>
            <w:vAlign w:val="center"/>
          </w:tcPr>
          <w:p w14:paraId="251D660C" w14:textId="28D1CC08" w:rsidR="0023281E" w:rsidRPr="0023281E" w:rsidRDefault="00B7630C" w:rsidP="0023281E">
            <w:pPr>
              <w:jc w:val="center"/>
              <w:rPr>
                <w:rFonts w:ascii="Arial" w:hAnsi="Arial" w:cs="Arial"/>
                <w:sz w:val="18"/>
                <w:szCs w:val="18"/>
              </w:rPr>
            </w:pPr>
            <w:r>
              <w:rPr>
                <w:rFonts w:ascii="Arial" w:hAnsi="Arial" w:cs="Arial"/>
                <w:sz w:val="18"/>
                <w:szCs w:val="18"/>
              </w:rPr>
              <w:t>N/A</w:t>
            </w:r>
          </w:p>
        </w:tc>
        <w:tc>
          <w:tcPr>
            <w:tcW w:w="500" w:type="pct"/>
            <w:shd w:val="clear" w:color="000000" w:fill="auto"/>
            <w:vAlign w:val="center"/>
          </w:tcPr>
          <w:p w14:paraId="73E09E51" w14:textId="25F44081" w:rsidR="0023281E" w:rsidRPr="0023281E" w:rsidRDefault="00B7630C" w:rsidP="0023281E">
            <w:pPr>
              <w:jc w:val="center"/>
              <w:rPr>
                <w:rFonts w:ascii="Arial" w:hAnsi="Arial" w:cs="Arial"/>
                <w:sz w:val="18"/>
                <w:szCs w:val="18"/>
              </w:rPr>
            </w:pPr>
            <w:r>
              <w:rPr>
                <w:rFonts w:ascii="Arial" w:hAnsi="Arial" w:cs="Arial"/>
                <w:sz w:val="18"/>
                <w:szCs w:val="18"/>
              </w:rPr>
              <w:t>N/A</w:t>
            </w:r>
          </w:p>
        </w:tc>
        <w:tc>
          <w:tcPr>
            <w:tcW w:w="500" w:type="pct"/>
            <w:shd w:val="clear" w:color="000000" w:fill="auto"/>
            <w:vAlign w:val="center"/>
          </w:tcPr>
          <w:p w14:paraId="0B267FF7" w14:textId="265B6530" w:rsidR="0023281E" w:rsidRPr="0023281E" w:rsidRDefault="00B7630C" w:rsidP="0023281E">
            <w:pPr>
              <w:jc w:val="center"/>
              <w:rPr>
                <w:rFonts w:ascii="Arial" w:hAnsi="Arial" w:cs="Arial"/>
                <w:sz w:val="18"/>
                <w:szCs w:val="18"/>
              </w:rPr>
            </w:pPr>
            <w:r>
              <w:rPr>
                <w:rFonts w:ascii="Arial" w:hAnsi="Arial" w:cs="Arial"/>
                <w:sz w:val="18"/>
                <w:szCs w:val="18"/>
              </w:rPr>
              <w:t>42</w:t>
            </w:r>
          </w:p>
        </w:tc>
        <w:tc>
          <w:tcPr>
            <w:tcW w:w="517" w:type="pct"/>
            <w:shd w:val="clear" w:color="000000" w:fill="auto"/>
            <w:vAlign w:val="center"/>
            <w:hideMark/>
          </w:tcPr>
          <w:p w14:paraId="4D561D63" w14:textId="399AA497" w:rsidR="0023281E" w:rsidRPr="0023281E" w:rsidRDefault="0023281E" w:rsidP="0023281E">
            <w:pPr>
              <w:jc w:val="center"/>
              <w:rPr>
                <w:rFonts w:ascii="Arial" w:hAnsi="Arial" w:cs="Arial"/>
                <w:sz w:val="18"/>
                <w:szCs w:val="18"/>
              </w:rPr>
            </w:pPr>
            <w:r>
              <w:rPr>
                <w:rFonts w:ascii="Arial" w:hAnsi="Arial" w:cs="Arial"/>
                <w:sz w:val="18"/>
                <w:szCs w:val="18"/>
              </w:rPr>
              <w:t>NON</w:t>
            </w:r>
          </w:p>
        </w:tc>
      </w:tr>
      <w:tr w:rsidR="00B7630C" w:rsidRPr="0023281E" w14:paraId="3C57CB75" w14:textId="77777777" w:rsidTr="00B7630C">
        <w:trPr>
          <w:trHeight w:val="339"/>
        </w:trPr>
        <w:tc>
          <w:tcPr>
            <w:tcW w:w="1520" w:type="pct"/>
            <w:vMerge/>
            <w:shd w:val="clear" w:color="000000" w:fill="auto"/>
            <w:vAlign w:val="center"/>
          </w:tcPr>
          <w:p w14:paraId="0AFB87C4" w14:textId="77777777" w:rsidR="00B7630C" w:rsidRPr="0023281E" w:rsidRDefault="00B7630C" w:rsidP="0023281E">
            <w:pPr>
              <w:rPr>
                <w:rFonts w:ascii="Arial" w:hAnsi="Arial" w:cs="Arial"/>
                <w:sz w:val="18"/>
                <w:szCs w:val="18"/>
              </w:rPr>
            </w:pPr>
          </w:p>
        </w:tc>
        <w:tc>
          <w:tcPr>
            <w:tcW w:w="870" w:type="pct"/>
            <w:shd w:val="clear" w:color="000000" w:fill="auto"/>
            <w:vAlign w:val="center"/>
          </w:tcPr>
          <w:p w14:paraId="6E941C54" w14:textId="456F1B3D" w:rsidR="00B7630C" w:rsidRDefault="00B7630C" w:rsidP="00B7630C">
            <w:pPr>
              <w:jc w:val="center"/>
              <w:rPr>
                <w:rFonts w:ascii="Arial" w:hAnsi="Arial" w:cs="Arial"/>
                <w:sz w:val="18"/>
                <w:szCs w:val="18"/>
              </w:rPr>
            </w:pPr>
            <w:r w:rsidRPr="0023281E">
              <w:rPr>
                <w:rFonts w:ascii="Arial" w:hAnsi="Arial" w:cs="Arial"/>
                <w:sz w:val="18"/>
                <w:szCs w:val="18"/>
              </w:rPr>
              <w:t>UVCE</w:t>
            </w:r>
            <w:r>
              <w:rPr>
                <w:rFonts w:ascii="Arial" w:hAnsi="Arial" w:cs="Arial"/>
                <w:sz w:val="18"/>
                <w:szCs w:val="18"/>
              </w:rPr>
              <w:br/>
            </w:r>
            <w:r>
              <w:rPr>
                <w:rFonts w:ascii="Arial" w:hAnsi="Arial" w:cs="Arial"/>
                <w:sz w:val="16"/>
                <w:szCs w:val="18"/>
              </w:rPr>
              <w:t xml:space="preserve">Ilot </w:t>
            </w:r>
            <w:r w:rsidRPr="00B7630C">
              <w:rPr>
                <w:rFonts w:ascii="Arial" w:hAnsi="Arial" w:cs="Arial"/>
                <w:sz w:val="16"/>
                <w:szCs w:val="18"/>
              </w:rPr>
              <w:t>PCC</w:t>
            </w:r>
          </w:p>
        </w:tc>
        <w:tc>
          <w:tcPr>
            <w:tcW w:w="592" w:type="pct"/>
            <w:shd w:val="clear" w:color="000000" w:fill="auto"/>
            <w:vAlign w:val="center"/>
          </w:tcPr>
          <w:p w14:paraId="430FB036" w14:textId="6E32A41F" w:rsidR="00B7630C" w:rsidRPr="0023281E" w:rsidRDefault="00B7630C" w:rsidP="0023281E">
            <w:pPr>
              <w:jc w:val="center"/>
              <w:rPr>
                <w:rFonts w:ascii="Arial" w:hAnsi="Arial" w:cs="Arial"/>
                <w:sz w:val="18"/>
                <w:szCs w:val="18"/>
              </w:rPr>
            </w:pPr>
            <w:r w:rsidRPr="0023281E">
              <w:rPr>
                <w:rFonts w:ascii="Arial" w:hAnsi="Arial" w:cs="Arial"/>
                <w:sz w:val="18"/>
                <w:szCs w:val="18"/>
              </w:rPr>
              <w:t>Surpression</w:t>
            </w:r>
          </w:p>
        </w:tc>
        <w:tc>
          <w:tcPr>
            <w:tcW w:w="500" w:type="pct"/>
            <w:shd w:val="clear" w:color="000000" w:fill="auto"/>
            <w:vAlign w:val="center"/>
          </w:tcPr>
          <w:p w14:paraId="4BE7DE75" w14:textId="1B45B17D" w:rsidR="00B7630C" w:rsidRPr="0023281E" w:rsidRDefault="00B7630C" w:rsidP="0023281E">
            <w:pPr>
              <w:jc w:val="center"/>
              <w:rPr>
                <w:rFonts w:ascii="Arial" w:hAnsi="Arial" w:cs="Arial"/>
                <w:sz w:val="18"/>
                <w:szCs w:val="18"/>
              </w:rPr>
            </w:pPr>
            <w:r>
              <w:rPr>
                <w:rFonts w:ascii="Arial" w:hAnsi="Arial" w:cs="Arial"/>
                <w:sz w:val="18"/>
                <w:szCs w:val="18"/>
              </w:rPr>
              <w:t>10</w:t>
            </w:r>
          </w:p>
        </w:tc>
        <w:tc>
          <w:tcPr>
            <w:tcW w:w="500" w:type="pct"/>
            <w:shd w:val="clear" w:color="000000" w:fill="auto"/>
            <w:vAlign w:val="center"/>
          </w:tcPr>
          <w:p w14:paraId="194E1C5A" w14:textId="5BB6D416" w:rsidR="00B7630C" w:rsidRPr="0023281E" w:rsidRDefault="00B7630C" w:rsidP="0023281E">
            <w:pPr>
              <w:jc w:val="center"/>
              <w:rPr>
                <w:rFonts w:ascii="Arial" w:hAnsi="Arial" w:cs="Arial"/>
                <w:sz w:val="18"/>
                <w:szCs w:val="18"/>
              </w:rPr>
            </w:pPr>
            <w:r>
              <w:rPr>
                <w:rFonts w:ascii="Arial" w:hAnsi="Arial" w:cs="Arial"/>
                <w:sz w:val="18"/>
                <w:szCs w:val="18"/>
              </w:rPr>
              <w:t>15</w:t>
            </w:r>
          </w:p>
        </w:tc>
        <w:tc>
          <w:tcPr>
            <w:tcW w:w="500" w:type="pct"/>
            <w:shd w:val="clear" w:color="000000" w:fill="auto"/>
            <w:vAlign w:val="center"/>
          </w:tcPr>
          <w:p w14:paraId="64A2671C" w14:textId="0FF33B5E" w:rsidR="00B7630C" w:rsidRPr="0023281E" w:rsidRDefault="00B7630C" w:rsidP="0023281E">
            <w:pPr>
              <w:jc w:val="center"/>
              <w:rPr>
                <w:rFonts w:ascii="Arial" w:hAnsi="Arial" w:cs="Arial"/>
                <w:sz w:val="18"/>
                <w:szCs w:val="18"/>
              </w:rPr>
            </w:pPr>
            <w:r>
              <w:rPr>
                <w:rFonts w:ascii="Arial" w:hAnsi="Arial" w:cs="Arial"/>
                <w:sz w:val="18"/>
                <w:szCs w:val="18"/>
              </w:rPr>
              <w:t>42</w:t>
            </w:r>
          </w:p>
        </w:tc>
        <w:tc>
          <w:tcPr>
            <w:tcW w:w="517" w:type="pct"/>
            <w:shd w:val="clear" w:color="000000" w:fill="auto"/>
            <w:vAlign w:val="center"/>
          </w:tcPr>
          <w:p w14:paraId="455A82C6" w14:textId="0AF1BEE7" w:rsidR="00B7630C" w:rsidRDefault="00B7630C" w:rsidP="0023281E">
            <w:pPr>
              <w:jc w:val="center"/>
              <w:rPr>
                <w:rFonts w:ascii="Arial" w:hAnsi="Arial" w:cs="Arial"/>
                <w:sz w:val="18"/>
                <w:szCs w:val="18"/>
              </w:rPr>
            </w:pPr>
            <w:r>
              <w:rPr>
                <w:rFonts w:ascii="Arial" w:hAnsi="Arial" w:cs="Arial"/>
                <w:sz w:val="18"/>
                <w:szCs w:val="18"/>
              </w:rPr>
              <w:t>NON</w:t>
            </w:r>
          </w:p>
        </w:tc>
      </w:tr>
      <w:tr w:rsidR="0023281E" w:rsidRPr="0023281E" w14:paraId="0895BE06" w14:textId="77777777" w:rsidTr="00B7630C">
        <w:trPr>
          <w:trHeight w:val="339"/>
        </w:trPr>
        <w:tc>
          <w:tcPr>
            <w:tcW w:w="1520" w:type="pct"/>
            <w:vMerge/>
            <w:shd w:val="clear" w:color="000000" w:fill="auto"/>
            <w:vAlign w:val="center"/>
          </w:tcPr>
          <w:p w14:paraId="54A1F276" w14:textId="77777777" w:rsidR="0023281E" w:rsidRPr="0023281E" w:rsidRDefault="0023281E" w:rsidP="0023281E">
            <w:pPr>
              <w:rPr>
                <w:rFonts w:ascii="Arial" w:hAnsi="Arial" w:cs="Arial"/>
                <w:sz w:val="18"/>
                <w:szCs w:val="18"/>
              </w:rPr>
            </w:pPr>
          </w:p>
        </w:tc>
        <w:tc>
          <w:tcPr>
            <w:tcW w:w="870" w:type="pct"/>
            <w:shd w:val="clear" w:color="000000" w:fill="auto"/>
            <w:vAlign w:val="center"/>
          </w:tcPr>
          <w:p w14:paraId="63DF6BF6" w14:textId="2B5B7D1B" w:rsidR="0023281E" w:rsidRPr="0023281E" w:rsidRDefault="0023281E" w:rsidP="0023281E">
            <w:pPr>
              <w:jc w:val="center"/>
              <w:rPr>
                <w:rFonts w:ascii="Arial" w:hAnsi="Arial" w:cs="Arial"/>
                <w:sz w:val="18"/>
                <w:szCs w:val="18"/>
              </w:rPr>
            </w:pPr>
            <w:r>
              <w:rPr>
                <w:rFonts w:ascii="Arial" w:hAnsi="Arial" w:cs="Arial"/>
                <w:sz w:val="18"/>
                <w:szCs w:val="18"/>
              </w:rPr>
              <w:t>Feu de nappe</w:t>
            </w:r>
          </w:p>
        </w:tc>
        <w:tc>
          <w:tcPr>
            <w:tcW w:w="592" w:type="pct"/>
            <w:shd w:val="clear" w:color="000000" w:fill="auto"/>
            <w:vAlign w:val="center"/>
          </w:tcPr>
          <w:p w14:paraId="0D3DA712" w14:textId="2FEA66F2" w:rsidR="0023281E" w:rsidRPr="0023281E" w:rsidRDefault="0023281E" w:rsidP="0023281E">
            <w:pPr>
              <w:jc w:val="center"/>
              <w:rPr>
                <w:rFonts w:ascii="Arial" w:hAnsi="Arial" w:cs="Arial"/>
                <w:sz w:val="18"/>
                <w:szCs w:val="18"/>
              </w:rPr>
            </w:pPr>
            <w:r w:rsidRPr="0023281E">
              <w:rPr>
                <w:rFonts w:ascii="Arial" w:hAnsi="Arial" w:cs="Arial"/>
                <w:sz w:val="18"/>
                <w:szCs w:val="18"/>
              </w:rPr>
              <w:t>Thermique</w:t>
            </w:r>
          </w:p>
        </w:tc>
        <w:tc>
          <w:tcPr>
            <w:tcW w:w="500" w:type="pct"/>
            <w:shd w:val="clear" w:color="000000" w:fill="auto"/>
            <w:vAlign w:val="center"/>
          </w:tcPr>
          <w:p w14:paraId="113F03D5" w14:textId="013943CB" w:rsidR="0023281E" w:rsidRPr="0023281E" w:rsidRDefault="00B7630C" w:rsidP="0023281E">
            <w:pPr>
              <w:jc w:val="center"/>
              <w:rPr>
                <w:rFonts w:ascii="Arial" w:hAnsi="Arial" w:cs="Arial"/>
                <w:sz w:val="18"/>
                <w:szCs w:val="18"/>
              </w:rPr>
            </w:pPr>
            <w:r>
              <w:rPr>
                <w:rFonts w:ascii="Arial" w:hAnsi="Arial" w:cs="Arial"/>
                <w:sz w:val="18"/>
                <w:szCs w:val="18"/>
              </w:rPr>
              <w:t>39</w:t>
            </w:r>
          </w:p>
        </w:tc>
        <w:tc>
          <w:tcPr>
            <w:tcW w:w="500" w:type="pct"/>
            <w:shd w:val="clear" w:color="000000" w:fill="auto"/>
            <w:vAlign w:val="center"/>
          </w:tcPr>
          <w:p w14:paraId="3982AEE3" w14:textId="0CEA7088" w:rsidR="0023281E" w:rsidRPr="0023281E" w:rsidRDefault="00B7630C" w:rsidP="0023281E">
            <w:pPr>
              <w:jc w:val="center"/>
              <w:rPr>
                <w:rFonts w:ascii="Arial" w:hAnsi="Arial" w:cs="Arial"/>
                <w:sz w:val="18"/>
                <w:szCs w:val="18"/>
              </w:rPr>
            </w:pPr>
            <w:r>
              <w:rPr>
                <w:rFonts w:ascii="Arial" w:hAnsi="Arial" w:cs="Arial"/>
                <w:sz w:val="18"/>
                <w:szCs w:val="18"/>
              </w:rPr>
              <w:t>50</w:t>
            </w:r>
          </w:p>
        </w:tc>
        <w:tc>
          <w:tcPr>
            <w:tcW w:w="500" w:type="pct"/>
            <w:shd w:val="clear" w:color="000000" w:fill="auto"/>
            <w:vAlign w:val="center"/>
          </w:tcPr>
          <w:p w14:paraId="657C1041" w14:textId="18EBC436" w:rsidR="0023281E" w:rsidRPr="0023281E" w:rsidRDefault="00B7630C" w:rsidP="0023281E">
            <w:pPr>
              <w:jc w:val="center"/>
              <w:rPr>
                <w:rFonts w:ascii="Arial" w:hAnsi="Arial" w:cs="Arial"/>
                <w:sz w:val="18"/>
                <w:szCs w:val="18"/>
              </w:rPr>
            </w:pPr>
            <w:r>
              <w:rPr>
                <w:rFonts w:ascii="Arial" w:hAnsi="Arial" w:cs="Arial"/>
                <w:sz w:val="18"/>
                <w:szCs w:val="18"/>
              </w:rPr>
              <w:t>62</w:t>
            </w:r>
          </w:p>
        </w:tc>
        <w:tc>
          <w:tcPr>
            <w:tcW w:w="517" w:type="pct"/>
            <w:shd w:val="clear" w:color="000000" w:fill="auto"/>
            <w:vAlign w:val="center"/>
          </w:tcPr>
          <w:p w14:paraId="63888CFD" w14:textId="19413D37" w:rsidR="0023281E" w:rsidRPr="0023281E" w:rsidRDefault="0023281E" w:rsidP="0023281E">
            <w:pPr>
              <w:jc w:val="center"/>
              <w:rPr>
                <w:rFonts w:ascii="Arial" w:hAnsi="Arial" w:cs="Arial"/>
                <w:sz w:val="18"/>
                <w:szCs w:val="18"/>
              </w:rPr>
            </w:pPr>
            <w:r>
              <w:rPr>
                <w:rFonts w:ascii="Arial" w:hAnsi="Arial" w:cs="Arial"/>
                <w:sz w:val="18"/>
                <w:szCs w:val="18"/>
              </w:rPr>
              <w:t>NON</w:t>
            </w:r>
          </w:p>
        </w:tc>
      </w:tr>
    </w:tbl>
    <w:p w14:paraId="5B65936B" w14:textId="38E76D2C" w:rsidR="00B7630C" w:rsidRPr="0089628F" w:rsidRDefault="00B7630C" w:rsidP="00B7630C">
      <w:pPr>
        <w:pStyle w:val="Texte"/>
        <w:spacing w:after="0" w:line="276" w:lineRule="auto"/>
        <w:ind w:left="0"/>
        <w:rPr>
          <w:rFonts w:cs="Arial"/>
          <w:sz w:val="16"/>
          <w:szCs w:val="20"/>
        </w:rPr>
      </w:pPr>
      <w:r>
        <w:rPr>
          <w:rFonts w:cs="Arial"/>
          <w:sz w:val="16"/>
          <w:szCs w:val="20"/>
        </w:rPr>
        <w:t>PCC : Postes de chargement/déchargement camions de la Plateforme de La Mède</w:t>
      </w:r>
      <w:r w:rsidRPr="0089628F">
        <w:rPr>
          <w:rFonts w:cs="Arial"/>
          <w:sz w:val="16"/>
          <w:szCs w:val="20"/>
        </w:rPr>
        <w:t>.</w:t>
      </w:r>
    </w:p>
    <w:p w14:paraId="4FF634AB" w14:textId="10E17E0D" w:rsidR="00083F87" w:rsidRDefault="007C5C80" w:rsidP="0076690A">
      <w:pPr>
        <w:pStyle w:val="Texte"/>
        <w:spacing w:before="200" w:after="0" w:line="276" w:lineRule="auto"/>
        <w:ind w:left="0"/>
        <w:rPr>
          <w:rFonts w:cs="Arial"/>
          <w:szCs w:val="20"/>
        </w:rPr>
      </w:pPr>
      <w:r>
        <w:rPr>
          <w:rFonts w:cs="Arial"/>
          <w:szCs w:val="20"/>
        </w:rPr>
        <w:t xml:space="preserve">Il en ressort que les effets thermiques et de surpression </w:t>
      </w:r>
      <w:r w:rsidR="0089628F">
        <w:rPr>
          <w:rFonts w:cs="Arial"/>
          <w:szCs w:val="20"/>
        </w:rPr>
        <w:t xml:space="preserve">de ce scénario complémentaire </w:t>
      </w:r>
      <w:r>
        <w:rPr>
          <w:rFonts w:cs="Arial"/>
          <w:szCs w:val="20"/>
        </w:rPr>
        <w:t xml:space="preserve">ne sortent </w:t>
      </w:r>
      <w:r w:rsidR="00B7630C">
        <w:rPr>
          <w:rFonts w:cs="Arial"/>
          <w:szCs w:val="20"/>
        </w:rPr>
        <w:t xml:space="preserve">effectivement </w:t>
      </w:r>
      <w:r>
        <w:rPr>
          <w:rFonts w:cs="Arial"/>
          <w:szCs w:val="20"/>
        </w:rPr>
        <w:t>pas des limites de la plateforme.</w:t>
      </w:r>
    </w:p>
    <w:p w14:paraId="199240F3" w14:textId="74A99117" w:rsidR="0094337B" w:rsidRPr="0094337B" w:rsidRDefault="0094337B" w:rsidP="0094337B">
      <w:pPr>
        <w:pStyle w:val="Texte"/>
        <w:spacing w:before="200" w:after="0" w:line="276" w:lineRule="auto"/>
        <w:ind w:left="0"/>
        <w:rPr>
          <w:rFonts w:cs="Arial"/>
          <w:szCs w:val="20"/>
        </w:rPr>
      </w:pPr>
      <w:r w:rsidRPr="0094337B">
        <w:rPr>
          <w:rFonts w:cs="Arial"/>
          <w:szCs w:val="20"/>
        </w:rPr>
        <w:t xml:space="preserve">L’analyse des effets dominos consiste à examiner si </w:t>
      </w:r>
      <w:r>
        <w:rPr>
          <w:rFonts w:cs="Arial"/>
          <w:szCs w:val="20"/>
        </w:rPr>
        <w:t>ce</w:t>
      </w:r>
      <w:r w:rsidRPr="0094337B">
        <w:rPr>
          <w:rFonts w:cs="Arial"/>
          <w:szCs w:val="20"/>
        </w:rPr>
        <w:t xml:space="preserve"> scénario serait capable de se propager de façon importante dans les autres installations voisines avec le risque d’entrainer des conséquences supérieures</w:t>
      </w:r>
      <w:r>
        <w:rPr>
          <w:rFonts w:cs="Arial"/>
          <w:szCs w:val="20"/>
        </w:rPr>
        <w:t xml:space="preserve">, c’est-à-dire des effets externes à la plateforme. </w:t>
      </w:r>
      <w:r w:rsidRPr="0094337B">
        <w:rPr>
          <w:rFonts w:cs="Arial"/>
          <w:szCs w:val="20"/>
        </w:rPr>
        <w:t>Les effets dominos sont déterminés</w:t>
      </w:r>
      <w:r>
        <w:rPr>
          <w:rFonts w:cs="Arial"/>
          <w:szCs w:val="20"/>
        </w:rPr>
        <w:t>, à partir des cartographies,</w:t>
      </w:r>
      <w:r w:rsidRPr="0094337B">
        <w:rPr>
          <w:rFonts w:cs="Arial"/>
          <w:szCs w:val="20"/>
        </w:rPr>
        <w:t xml:space="preserve"> en prenant en compte les seuils des effets</w:t>
      </w:r>
      <w:r>
        <w:rPr>
          <w:rFonts w:cs="Arial"/>
          <w:szCs w:val="20"/>
        </w:rPr>
        <w:t xml:space="preserve"> sur les structures définis par l’arrêté « PCIG » :</w:t>
      </w:r>
    </w:p>
    <w:p w14:paraId="411453D0" w14:textId="77777777" w:rsidR="0094337B" w:rsidRDefault="0094337B" w:rsidP="0094337B">
      <w:pPr>
        <w:pStyle w:val="PuceNiveau1"/>
      </w:pPr>
      <w:r w:rsidRPr="0094337B">
        <w:t xml:space="preserve">pour l’onde de choc </w:t>
      </w:r>
      <w:r>
        <w:t>(UVCE) :</w:t>
      </w:r>
      <w:r w:rsidRPr="0094337B">
        <w:t xml:space="preserve"> 200 mbar</w:t>
      </w:r>
      <w:r>
        <w:t> ;</w:t>
      </w:r>
    </w:p>
    <w:p w14:paraId="125B12B0" w14:textId="6F7EF5D3" w:rsidR="0094337B" w:rsidRDefault="0094337B" w:rsidP="0094337B">
      <w:pPr>
        <w:pStyle w:val="PuceNiveau1"/>
      </w:pPr>
      <w:r w:rsidRPr="0094337B">
        <w:t>pour le</w:t>
      </w:r>
      <w:r>
        <w:t>s</w:t>
      </w:r>
      <w:r w:rsidRPr="0094337B">
        <w:t xml:space="preserve"> flux thermique</w:t>
      </w:r>
      <w:r>
        <w:t>s (jet enflammé, feu de nappe) :</w:t>
      </w:r>
      <w:r w:rsidRPr="0094337B">
        <w:t xml:space="preserve"> 8 kW/m</w:t>
      </w:r>
      <w:r w:rsidRPr="0094337B">
        <w:rPr>
          <w:vertAlign w:val="superscript"/>
        </w:rPr>
        <w:t>2</w:t>
      </w:r>
      <w:r>
        <w:t xml:space="preserve"> ou plus</w:t>
      </w:r>
      <w:r w:rsidRPr="0094337B">
        <w:t>.</w:t>
      </w:r>
    </w:p>
    <w:p w14:paraId="7C9B9DA9" w14:textId="55B503D6" w:rsidR="0089628F" w:rsidRPr="0089628F" w:rsidRDefault="0089628F" w:rsidP="0089628F">
      <w:pPr>
        <w:pStyle w:val="Texte"/>
        <w:spacing w:before="200" w:after="0" w:line="276" w:lineRule="auto"/>
        <w:ind w:left="0"/>
        <w:rPr>
          <w:rFonts w:cs="Arial"/>
          <w:szCs w:val="20"/>
        </w:rPr>
      </w:pPr>
      <w:r w:rsidRPr="0089628F">
        <w:rPr>
          <w:rFonts w:cs="Arial"/>
          <w:szCs w:val="20"/>
        </w:rPr>
        <w:t xml:space="preserve">Les </w:t>
      </w:r>
      <w:r>
        <w:rPr>
          <w:rFonts w:cs="Arial"/>
          <w:szCs w:val="20"/>
        </w:rPr>
        <w:t>effets dominos</w:t>
      </w:r>
      <w:r w:rsidRPr="0089628F">
        <w:rPr>
          <w:rFonts w:cs="Arial"/>
          <w:szCs w:val="20"/>
        </w:rPr>
        <w:t xml:space="preserve"> sont </w:t>
      </w:r>
      <w:r>
        <w:rPr>
          <w:rFonts w:cs="Arial"/>
          <w:szCs w:val="20"/>
        </w:rPr>
        <w:t>analysés</w:t>
      </w:r>
      <w:r w:rsidRPr="0089628F">
        <w:rPr>
          <w:rFonts w:cs="Arial"/>
          <w:szCs w:val="20"/>
        </w:rPr>
        <w:t xml:space="preserve"> dans le tableau suivant :</w:t>
      </w:r>
    </w:p>
    <w:p w14:paraId="6E390DB8" w14:textId="77777777" w:rsidR="0094337B" w:rsidRPr="0089628F" w:rsidRDefault="0094337B" w:rsidP="0094337B">
      <w:pPr>
        <w:pStyle w:val="Texte"/>
        <w:spacing w:before="200" w:after="0" w:line="276" w:lineRule="auto"/>
        <w:ind w:left="0"/>
        <w:rPr>
          <w:rFonts w:cs="Arial"/>
          <w:sz w:val="2"/>
          <w:szCs w:val="20"/>
        </w:rPr>
      </w:pPr>
    </w:p>
    <w:tbl>
      <w:tblPr>
        <w:tblW w:w="5000" w:type="pct"/>
        <w:tblCellMar>
          <w:left w:w="70" w:type="dxa"/>
          <w:right w:w="70" w:type="dxa"/>
        </w:tblCellMar>
        <w:tblLook w:val="04A0" w:firstRow="1" w:lastRow="0" w:firstColumn="1" w:lastColumn="0" w:noHBand="0" w:noVBand="1"/>
      </w:tblPr>
      <w:tblGrid>
        <w:gridCol w:w="2292"/>
        <w:gridCol w:w="1024"/>
        <w:gridCol w:w="1183"/>
        <w:gridCol w:w="942"/>
        <w:gridCol w:w="1270"/>
        <w:gridCol w:w="1768"/>
        <w:gridCol w:w="815"/>
        <w:gridCol w:w="901"/>
      </w:tblGrid>
      <w:tr w:rsidR="00874710" w:rsidRPr="0094337B" w14:paraId="4231F1F5" w14:textId="77777777" w:rsidTr="00B7630C">
        <w:trPr>
          <w:trHeight w:val="20"/>
        </w:trPr>
        <w:tc>
          <w:tcPr>
            <w:tcW w:w="3290" w:type="pct"/>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B8AC59B" w14:textId="77777777"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Scénario initiateur</w:t>
            </w:r>
          </w:p>
        </w:tc>
        <w:tc>
          <w:tcPr>
            <w:tcW w:w="1274" w:type="pct"/>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55CB9CC1" w14:textId="77777777"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Equipement impacté</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F4982F5" w14:textId="77777777"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NG résultant</w:t>
            </w:r>
          </w:p>
        </w:tc>
      </w:tr>
      <w:tr w:rsidR="002F0256" w:rsidRPr="0094337B" w14:paraId="74E4D22B" w14:textId="77777777" w:rsidTr="00B7630C">
        <w:trPr>
          <w:trHeight w:val="20"/>
        </w:trPr>
        <w:tc>
          <w:tcPr>
            <w:tcW w:w="1108"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14:paraId="7C6D1343" w14:textId="6994D854" w:rsidR="0094337B" w:rsidRPr="0094337B" w:rsidRDefault="00874710" w:rsidP="002F0256">
            <w:pPr>
              <w:rPr>
                <w:rFonts w:ascii="Arial" w:hAnsi="Arial" w:cs="Arial"/>
                <w:b/>
                <w:bCs/>
                <w:color w:val="000000"/>
                <w:sz w:val="18"/>
                <w:szCs w:val="18"/>
              </w:rPr>
            </w:pPr>
            <w:r>
              <w:rPr>
                <w:rFonts w:ascii="Arial" w:hAnsi="Arial" w:cs="Arial"/>
                <w:b/>
                <w:bCs/>
                <w:color w:val="000000"/>
                <w:sz w:val="18"/>
                <w:szCs w:val="18"/>
              </w:rPr>
              <w:t>Scénario</w:t>
            </w:r>
            <w:r w:rsidR="0094337B" w:rsidRPr="0094337B">
              <w:rPr>
                <w:rFonts w:ascii="Arial" w:hAnsi="Arial" w:cs="Arial"/>
                <w:b/>
                <w:bCs/>
                <w:color w:val="000000"/>
                <w:sz w:val="18"/>
                <w:szCs w:val="18"/>
              </w:rPr>
              <w:t xml:space="preserve"> concerné</w:t>
            </w:r>
          </w:p>
        </w:tc>
        <w:tc>
          <w:tcPr>
            <w:tcW w:w="506" w:type="pct"/>
            <w:tcBorders>
              <w:top w:val="nil"/>
              <w:left w:val="nil"/>
              <w:bottom w:val="single" w:sz="4" w:space="0" w:color="auto"/>
              <w:right w:val="single" w:sz="4" w:space="0" w:color="auto"/>
            </w:tcBorders>
            <w:shd w:val="clear" w:color="auto" w:fill="95B3D7" w:themeFill="accent1" w:themeFillTint="99"/>
            <w:vAlign w:val="center"/>
            <w:hideMark/>
          </w:tcPr>
          <w:p w14:paraId="7F88E58D" w14:textId="77777777"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Type de scénario</w:t>
            </w:r>
          </w:p>
        </w:tc>
        <w:tc>
          <w:tcPr>
            <w:tcW w:w="584" w:type="pct"/>
            <w:tcBorders>
              <w:top w:val="nil"/>
              <w:left w:val="nil"/>
              <w:bottom w:val="single" w:sz="4" w:space="0" w:color="auto"/>
              <w:right w:val="single" w:sz="4" w:space="0" w:color="auto"/>
            </w:tcBorders>
            <w:shd w:val="clear" w:color="auto" w:fill="95B3D7" w:themeFill="accent1" w:themeFillTint="99"/>
            <w:vAlign w:val="center"/>
            <w:hideMark/>
          </w:tcPr>
          <w:p w14:paraId="41DB47EF" w14:textId="77777777"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Effet majorant</w:t>
            </w:r>
          </w:p>
        </w:tc>
        <w:tc>
          <w:tcPr>
            <w:tcW w:w="466" w:type="pct"/>
            <w:tcBorders>
              <w:top w:val="nil"/>
              <w:left w:val="nil"/>
              <w:bottom w:val="single" w:sz="4" w:space="0" w:color="auto"/>
              <w:right w:val="single" w:sz="4" w:space="0" w:color="auto"/>
            </w:tcBorders>
            <w:shd w:val="clear" w:color="auto" w:fill="95B3D7" w:themeFill="accent1" w:themeFillTint="99"/>
            <w:vAlign w:val="center"/>
            <w:hideMark/>
          </w:tcPr>
          <w:p w14:paraId="14638374" w14:textId="56690BFE"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NG</w:t>
            </w:r>
          </w:p>
        </w:tc>
        <w:tc>
          <w:tcPr>
            <w:tcW w:w="627" w:type="pct"/>
            <w:tcBorders>
              <w:top w:val="nil"/>
              <w:left w:val="nil"/>
              <w:bottom w:val="single" w:sz="4" w:space="0" w:color="auto"/>
              <w:right w:val="single" w:sz="4" w:space="0" w:color="auto"/>
            </w:tcBorders>
            <w:shd w:val="clear" w:color="auto" w:fill="95B3D7" w:themeFill="accent1" w:themeFillTint="99"/>
            <w:vAlign w:val="center"/>
            <w:hideMark/>
          </w:tcPr>
          <w:p w14:paraId="48B6B4A2" w14:textId="18C03C0D"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Distance d'effet domino</w:t>
            </w:r>
          </w:p>
        </w:tc>
        <w:tc>
          <w:tcPr>
            <w:tcW w:w="871" w:type="pct"/>
            <w:tcBorders>
              <w:top w:val="nil"/>
              <w:left w:val="nil"/>
              <w:bottom w:val="single" w:sz="4" w:space="0" w:color="auto"/>
              <w:right w:val="single" w:sz="4" w:space="0" w:color="auto"/>
            </w:tcBorders>
            <w:shd w:val="clear" w:color="auto" w:fill="95B3D7" w:themeFill="accent1" w:themeFillTint="99"/>
            <w:vAlign w:val="center"/>
            <w:hideMark/>
          </w:tcPr>
          <w:p w14:paraId="243C8D3C" w14:textId="2CDC2F05" w:rsidR="0094337B" w:rsidRPr="0094337B" w:rsidRDefault="00874710" w:rsidP="002F0256">
            <w:pPr>
              <w:jc w:val="center"/>
              <w:rPr>
                <w:rFonts w:ascii="Arial" w:hAnsi="Arial" w:cs="Arial"/>
                <w:b/>
                <w:bCs/>
                <w:color w:val="000000"/>
                <w:sz w:val="18"/>
                <w:szCs w:val="18"/>
              </w:rPr>
            </w:pPr>
            <w:r>
              <w:rPr>
                <w:rFonts w:ascii="Arial" w:hAnsi="Arial" w:cs="Arial"/>
                <w:b/>
                <w:bCs/>
                <w:color w:val="000000"/>
                <w:sz w:val="18"/>
                <w:szCs w:val="18"/>
              </w:rPr>
              <w:t>Equipement</w:t>
            </w:r>
            <w:r>
              <w:rPr>
                <w:rFonts w:ascii="Arial" w:hAnsi="Arial" w:cs="Arial"/>
                <w:b/>
                <w:bCs/>
                <w:color w:val="000000"/>
                <w:sz w:val="18"/>
                <w:szCs w:val="18"/>
              </w:rPr>
              <w:br/>
              <w:t>PhD</w:t>
            </w:r>
          </w:p>
        </w:tc>
        <w:tc>
          <w:tcPr>
            <w:tcW w:w="403" w:type="pct"/>
            <w:tcBorders>
              <w:top w:val="nil"/>
              <w:left w:val="nil"/>
              <w:bottom w:val="single" w:sz="4" w:space="0" w:color="auto"/>
              <w:right w:val="single" w:sz="4" w:space="0" w:color="auto"/>
            </w:tcBorders>
            <w:shd w:val="clear" w:color="auto" w:fill="95B3D7" w:themeFill="accent1" w:themeFillTint="99"/>
            <w:vAlign w:val="center"/>
            <w:hideMark/>
          </w:tcPr>
          <w:p w14:paraId="4202FD3B" w14:textId="2ED82CFB" w:rsidR="0094337B" w:rsidRPr="0094337B" w:rsidRDefault="0094337B" w:rsidP="002F0256">
            <w:pPr>
              <w:jc w:val="center"/>
              <w:rPr>
                <w:rFonts w:ascii="Arial" w:hAnsi="Arial" w:cs="Arial"/>
                <w:b/>
                <w:bCs/>
                <w:color w:val="000000"/>
                <w:sz w:val="18"/>
                <w:szCs w:val="18"/>
              </w:rPr>
            </w:pPr>
            <w:r w:rsidRPr="0094337B">
              <w:rPr>
                <w:rFonts w:ascii="Arial" w:hAnsi="Arial" w:cs="Arial"/>
                <w:b/>
                <w:bCs/>
                <w:color w:val="000000"/>
                <w:sz w:val="18"/>
                <w:szCs w:val="18"/>
              </w:rPr>
              <w:t>NG</w:t>
            </w:r>
          </w:p>
        </w:tc>
        <w:tc>
          <w:tcPr>
            <w:tcW w:w="435"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7B99063" w14:textId="77777777" w:rsidR="0094337B" w:rsidRPr="0094337B" w:rsidRDefault="0094337B" w:rsidP="002F0256">
            <w:pPr>
              <w:rPr>
                <w:rFonts w:ascii="Arial" w:hAnsi="Arial" w:cs="Arial"/>
                <w:b/>
                <w:bCs/>
                <w:color w:val="000000"/>
                <w:sz w:val="18"/>
                <w:szCs w:val="18"/>
              </w:rPr>
            </w:pPr>
          </w:p>
        </w:tc>
      </w:tr>
      <w:tr w:rsidR="00B7630C" w:rsidRPr="0094337B" w14:paraId="28E6E963" w14:textId="77777777" w:rsidTr="00B7630C">
        <w:trPr>
          <w:trHeight w:val="641"/>
        </w:trPr>
        <w:tc>
          <w:tcPr>
            <w:tcW w:w="1108" w:type="pct"/>
            <w:vMerge w:val="restart"/>
            <w:tcBorders>
              <w:top w:val="nil"/>
              <w:left w:val="single" w:sz="4" w:space="0" w:color="auto"/>
              <w:right w:val="single" w:sz="4" w:space="0" w:color="auto"/>
            </w:tcBorders>
            <w:shd w:val="clear" w:color="auto" w:fill="auto"/>
            <w:vAlign w:val="center"/>
          </w:tcPr>
          <w:p w14:paraId="39AC9447" w14:textId="14D6CB9B" w:rsidR="00B7630C" w:rsidRPr="0094337B" w:rsidRDefault="00B7630C" w:rsidP="002F0256">
            <w:pPr>
              <w:rPr>
                <w:rFonts w:ascii="Arial" w:hAnsi="Arial" w:cs="Arial"/>
                <w:color w:val="000000"/>
                <w:sz w:val="18"/>
                <w:szCs w:val="18"/>
              </w:rPr>
            </w:pPr>
            <w:r w:rsidRPr="0094337B">
              <w:rPr>
                <w:rFonts w:ascii="Arial" w:hAnsi="Arial" w:cs="Arial"/>
                <w:color w:val="000000"/>
                <w:sz w:val="18"/>
                <w:szCs w:val="18"/>
              </w:rPr>
              <w:t>Rupture de tuyauterie entre les installations d’</w:t>
            </w:r>
            <w:proofErr w:type="spellStart"/>
            <w:r w:rsidRPr="0094337B">
              <w:rPr>
                <w:rFonts w:ascii="Arial" w:hAnsi="Arial" w:cs="Arial"/>
                <w:color w:val="000000"/>
                <w:sz w:val="18"/>
                <w:szCs w:val="18"/>
              </w:rPr>
              <w:t>Ecoslops</w:t>
            </w:r>
            <w:proofErr w:type="spellEnd"/>
            <w:r w:rsidRPr="0094337B">
              <w:rPr>
                <w:rFonts w:ascii="Arial" w:hAnsi="Arial" w:cs="Arial"/>
                <w:color w:val="000000"/>
                <w:sz w:val="18"/>
                <w:szCs w:val="18"/>
              </w:rPr>
              <w:t xml:space="preserve"> (stockages atmosphériques et unité P2R) et les postes de chargement/déchargement camions</w:t>
            </w:r>
          </w:p>
        </w:tc>
        <w:tc>
          <w:tcPr>
            <w:tcW w:w="506" w:type="pct"/>
            <w:tcBorders>
              <w:top w:val="single" w:sz="4" w:space="0" w:color="auto"/>
              <w:left w:val="nil"/>
              <w:right w:val="single" w:sz="4" w:space="0" w:color="auto"/>
            </w:tcBorders>
            <w:shd w:val="clear" w:color="auto" w:fill="auto"/>
            <w:vAlign w:val="center"/>
          </w:tcPr>
          <w:p w14:paraId="00B0E8A5" w14:textId="77777777" w:rsidR="00B7630C" w:rsidRDefault="00B7630C" w:rsidP="002F0256">
            <w:pPr>
              <w:jc w:val="center"/>
              <w:rPr>
                <w:rFonts w:ascii="Arial" w:hAnsi="Arial" w:cs="Arial"/>
                <w:color w:val="000000"/>
                <w:sz w:val="18"/>
                <w:szCs w:val="18"/>
              </w:rPr>
            </w:pPr>
            <w:r>
              <w:rPr>
                <w:rFonts w:ascii="Arial" w:hAnsi="Arial" w:cs="Arial"/>
                <w:color w:val="000000"/>
                <w:sz w:val="18"/>
                <w:szCs w:val="18"/>
              </w:rPr>
              <w:t>UVCE</w:t>
            </w:r>
          </w:p>
          <w:p w14:paraId="2CC13F03" w14:textId="1DD9BCC3"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Champ libre</w:t>
            </w:r>
          </w:p>
        </w:tc>
        <w:tc>
          <w:tcPr>
            <w:tcW w:w="584" w:type="pct"/>
            <w:tcBorders>
              <w:top w:val="single" w:sz="4" w:space="0" w:color="auto"/>
              <w:left w:val="nil"/>
              <w:right w:val="single" w:sz="4" w:space="0" w:color="auto"/>
            </w:tcBorders>
            <w:shd w:val="clear" w:color="000000" w:fill="FFFFFF"/>
            <w:noWrap/>
            <w:vAlign w:val="center"/>
          </w:tcPr>
          <w:p w14:paraId="0C9B1A0E" w14:textId="61AF20DF"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Surpression</w:t>
            </w:r>
          </w:p>
        </w:tc>
        <w:tc>
          <w:tcPr>
            <w:tcW w:w="466" w:type="pct"/>
            <w:tcBorders>
              <w:top w:val="single" w:sz="4" w:space="0" w:color="auto"/>
              <w:left w:val="nil"/>
              <w:right w:val="single" w:sz="4" w:space="0" w:color="auto"/>
            </w:tcBorders>
            <w:shd w:val="clear" w:color="auto" w:fill="auto"/>
            <w:vAlign w:val="center"/>
          </w:tcPr>
          <w:p w14:paraId="354334E6" w14:textId="458155F9"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c>
          <w:tcPr>
            <w:tcW w:w="627" w:type="pct"/>
            <w:tcBorders>
              <w:top w:val="single" w:sz="4" w:space="0" w:color="auto"/>
              <w:left w:val="nil"/>
              <w:right w:val="single" w:sz="4" w:space="0" w:color="auto"/>
            </w:tcBorders>
            <w:shd w:val="clear" w:color="auto" w:fill="auto"/>
            <w:vAlign w:val="center"/>
          </w:tcPr>
          <w:p w14:paraId="6E511CAA" w14:textId="52ADE78F"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N/A</w:t>
            </w:r>
          </w:p>
        </w:tc>
        <w:tc>
          <w:tcPr>
            <w:tcW w:w="1710" w:type="pct"/>
            <w:gridSpan w:val="3"/>
            <w:tcBorders>
              <w:top w:val="single" w:sz="4" w:space="0" w:color="auto"/>
              <w:left w:val="nil"/>
              <w:right w:val="single" w:sz="4" w:space="0" w:color="auto"/>
            </w:tcBorders>
            <w:shd w:val="clear" w:color="auto" w:fill="auto"/>
            <w:vAlign w:val="center"/>
          </w:tcPr>
          <w:p w14:paraId="6D59CBA8" w14:textId="08543742" w:rsidR="00B7630C" w:rsidRPr="0094337B" w:rsidRDefault="00B7630C" w:rsidP="002F0256">
            <w:pPr>
              <w:jc w:val="center"/>
              <w:rPr>
                <w:rFonts w:ascii="Arial" w:hAnsi="Arial" w:cs="Arial"/>
                <w:color w:val="000000"/>
                <w:sz w:val="18"/>
                <w:szCs w:val="18"/>
              </w:rPr>
            </w:pPr>
          </w:p>
        </w:tc>
      </w:tr>
      <w:tr w:rsidR="00B7630C" w:rsidRPr="0094337B" w14:paraId="5DBB457F" w14:textId="77777777" w:rsidTr="00B7630C">
        <w:trPr>
          <w:trHeight w:val="20"/>
        </w:trPr>
        <w:tc>
          <w:tcPr>
            <w:tcW w:w="1108" w:type="pct"/>
            <w:vMerge/>
            <w:tcBorders>
              <w:left w:val="single" w:sz="4" w:space="0" w:color="auto"/>
              <w:right w:val="single" w:sz="4" w:space="0" w:color="auto"/>
            </w:tcBorders>
            <w:vAlign w:val="center"/>
          </w:tcPr>
          <w:p w14:paraId="7BBF8CC1" w14:textId="77777777" w:rsidR="00B7630C" w:rsidRPr="0094337B" w:rsidRDefault="00B7630C" w:rsidP="002F0256">
            <w:pPr>
              <w:rPr>
                <w:rFonts w:ascii="Arial" w:hAnsi="Arial" w:cs="Arial"/>
                <w:color w:val="000000"/>
                <w:sz w:val="18"/>
                <w:szCs w:val="18"/>
              </w:rPr>
            </w:pPr>
          </w:p>
        </w:tc>
        <w:tc>
          <w:tcPr>
            <w:tcW w:w="506" w:type="pct"/>
            <w:tcBorders>
              <w:top w:val="single" w:sz="4" w:space="0" w:color="auto"/>
              <w:left w:val="nil"/>
              <w:right w:val="single" w:sz="4" w:space="0" w:color="auto"/>
            </w:tcBorders>
            <w:shd w:val="clear" w:color="auto" w:fill="auto"/>
            <w:vAlign w:val="center"/>
          </w:tcPr>
          <w:p w14:paraId="2F9C0595" w14:textId="77777777" w:rsidR="00B7630C" w:rsidRDefault="00B7630C" w:rsidP="000975BB">
            <w:pPr>
              <w:jc w:val="center"/>
              <w:rPr>
                <w:rFonts w:ascii="Arial" w:hAnsi="Arial" w:cs="Arial"/>
                <w:color w:val="000000"/>
                <w:sz w:val="18"/>
                <w:szCs w:val="18"/>
              </w:rPr>
            </w:pPr>
            <w:r>
              <w:rPr>
                <w:rFonts w:ascii="Arial" w:hAnsi="Arial" w:cs="Arial"/>
                <w:color w:val="000000"/>
                <w:sz w:val="18"/>
                <w:szCs w:val="18"/>
              </w:rPr>
              <w:t>UVCE</w:t>
            </w:r>
          </w:p>
          <w:p w14:paraId="7E87D0B4" w14:textId="155C0436"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Ilot PCC</w:t>
            </w:r>
          </w:p>
        </w:tc>
        <w:tc>
          <w:tcPr>
            <w:tcW w:w="584" w:type="pct"/>
            <w:tcBorders>
              <w:top w:val="single" w:sz="4" w:space="0" w:color="auto"/>
              <w:left w:val="nil"/>
              <w:right w:val="single" w:sz="4" w:space="0" w:color="auto"/>
            </w:tcBorders>
            <w:shd w:val="clear" w:color="000000" w:fill="FFFFFF"/>
            <w:noWrap/>
            <w:vAlign w:val="center"/>
          </w:tcPr>
          <w:p w14:paraId="3B5E8EB0" w14:textId="167E27A1"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Surpression</w:t>
            </w:r>
          </w:p>
        </w:tc>
        <w:tc>
          <w:tcPr>
            <w:tcW w:w="466" w:type="pct"/>
            <w:tcBorders>
              <w:top w:val="single" w:sz="4" w:space="0" w:color="auto"/>
              <w:left w:val="nil"/>
              <w:right w:val="single" w:sz="4" w:space="0" w:color="auto"/>
            </w:tcBorders>
            <w:shd w:val="clear" w:color="auto" w:fill="auto"/>
            <w:vAlign w:val="center"/>
          </w:tcPr>
          <w:p w14:paraId="3594D52C" w14:textId="00C2F7ED" w:rsidR="00B7630C"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c>
          <w:tcPr>
            <w:tcW w:w="627" w:type="pct"/>
            <w:tcBorders>
              <w:top w:val="single" w:sz="4" w:space="0" w:color="auto"/>
              <w:left w:val="nil"/>
              <w:right w:val="single" w:sz="4" w:space="0" w:color="auto"/>
            </w:tcBorders>
            <w:shd w:val="clear" w:color="auto" w:fill="auto"/>
            <w:vAlign w:val="center"/>
          </w:tcPr>
          <w:p w14:paraId="29C2CDA8" w14:textId="147438AC"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10</w:t>
            </w:r>
          </w:p>
        </w:tc>
        <w:tc>
          <w:tcPr>
            <w:tcW w:w="871" w:type="pct"/>
            <w:tcBorders>
              <w:top w:val="single" w:sz="4" w:space="0" w:color="auto"/>
              <w:left w:val="nil"/>
              <w:bottom w:val="single" w:sz="4" w:space="0" w:color="auto"/>
              <w:right w:val="single" w:sz="4" w:space="0" w:color="auto"/>
            </w:tcBorders>
            <w:shd w:val="clear" w:color="auto" w:fill="auto"/>
            <w:vAlign w:val="center"/>
          </w:tcPr>
          <w:p w14:paraId="31586340" w14:textId="59D39A84" w:rsidR="00B7630C" w:rsidRDefault="00B7630C" w:rsidP="002F0256">
            <w:pPr>
              <w:rPr>
                <w:rFonts w:ascii="Arial" w:hAnsi="Arial" w:cs="Arial"/>
                <w:color w:val="000000"/>
                <w:sz w:val="18"/>
                <w:szCs w:val="18"/>
              </w:rPr>
            </w:pPr>
            <w:r>
              <w:rPr>
                <w:rFonts w:ascii="Arial" w:hAnsi="Arial" w:cs="Arial"/>
                <w:color w:val="000000"/>
                <w:sz w:val="18"/>
                <w:szCs w:val="18"/>
              </w:rPr>
              <w:t>TOTAL EXP/Camion</w:t>
            </w:r>
          </w:p>
        </w:tc>
        <w:tc>
          <w:tcPr>
            <w:tcW w:w="403" w:type="pct"/>
            <w:tcBorders>
              <w:top w:val="single" w:sz="4" w:space="0" w:color="auto"/>
              <w:left w:val="nil"/>
              <w:bottom w:val="single" w:sz="4" w:space="0" w:color="auto"/>
              <w:right w:val="single" w:sz="4" w:space="0" w:color="auto"/>
            </w:tcBorders>
            <w:shd w:val="clear" w:color="auto" w:fill="auto"/>
            <w:vAlign w:val="center"/>
          </w:tcPr>
          <w:p w14:paraId="26E45117" w14:textId="25DB9A76" w:rsidR="00B7630C"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c>
          <w:tcPr>
            <w:tcW w:w="435" w:type="pct"/>
            <w:tcBorders>
              <w:top w:val="single" w:sz="4" w:space="0" w:color="auto"/>
              <w:left w:val="nil"/>
              <w:bottom w:val="single" w:sz="4" w:space="0" w:color="auto"/>
              <w:right w:val="single" w:sz="4" w:space="0" w:color="auto"/>
            </w:tcBorders>
            <w:shd w:val="clear" w:color="auto" w:fill="auto"/>
            <w:vAlign w:val="center"/>
          </w:tcPr>
          <w:p w14:paraId="200793BC" w14:textId="74C178E8" w:rsidR="00B7630C"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r>
      <w:tr w:rsidR="00B7630C" w:rsidRPr="0094337B" w14:paraId="1100FEBB" w14:textId="77777777" w:rsidTr="00B7630C">
        <w:trPr>
          <w:trHeight w:val="20"/>
        </w:trPr>
        <w:tc>
          <w:tcPr>
            <w:tcW w:w="1108" w:type="pct"/>
            <w:vMerge/>
            <w:tcBorders>
              <w:left w:val="single" w:sz="4" w:space="0" w:color="auto"/>
              <w:right w:val="single" w:sz="4" w:space="0" w:color="auto"/>
            </w:tcBorders>
            <w:vAlign w:val="center"/>
            <w:hideMark/>
          </w:tcPr>
          <w:p w14:paraId="39FF99EA" w14:textId="4905015F" w:rsidR="00B7630C" w:rsidRPr="0094337B" w:rsidRDefault="00B7630C" w:rsidP="002F0256">
            <w:pPr>
              <w:rPr>
                <w:rFonts w:ascii="Arial" w:hAnsi="Arial" w:cs="Arial"/>
                <w:color w:val="000000"/>
                <w:sz w:val="18"/>
                <w:szCs w:val="18"/>
              </w:rPr>
            </w:pPr>
          </w:p>
        </w:tc>
        <w:tc>
          <w:tcPr>
            <w:tcW w:w="506" w:type="pct"/>
            <w:vMerge w:val="restart"/>
            <w:tcBorders>
              <w:top w:val="single" w:sz="4" w:space="0" w:color="auto"/>
              <w:left w:val="nil"/>
              <w:right w:val="single" w:sz="4" w:space="0" w:color="auto"/>
            </w:tcBorders>
            <w:shd w:val="clear" w:color="auto" w:fill="auto"/>
            <w:vAlign w:val="center"/>
            <w:hideMark/>
          </w:tcPr>
          <w:p w14:paraId="1DC07BCE" w14:textId="77777777" w:rsidR="00B7630C" w:rsidRPr="0094337B" w:rsidRDefault="00B7630C" w:rsidP="002F0256">
            <w:pPr>
              <w:jc w:val="center"/>
              <w:rPr>
                <w:rFonts w:ascii="Arial" w:hAnsi="Arial" w:cs="Arial"/>
                <w:color w:val="000000"/>
                <w:sz w:val="18"/>
                <w:szCs w:val="18"/>
              </w:rPr>
            </w:pPr>
            <w:r w:rsidRPr="0094337B">
              <w:rPr>
                <w:rFonts w:ascii="Arial" w:hAnsi="Arial" w:cs="Arial"/>
                <w:color w:val="000000"/>
                <w:sz w:val="18"/>
                <w:szCs w:val="18"/>
              </w:rPr>
              <w:t>Feu de nappe</w:t>
            </w:r>
          </w:p>
        </w:tc>
        <w:tc>
          <w:tcPr>
            <w:tcW w:w="584" w:type="pct"/>
            <w:vMerge w:val="restart"/>
            <w:tcBorders>
              <w:top w:val="single" w:sz="4" w:space="0" w:color="auto"/>
              <w:left w:val="nil"/>
              <w:right w:val="single" w:sz="4" w:space="0" w:color="auto"/>
            </w:tcBorders>
            <w:shd w:val="clear" w:color="000000" w:fill="FFFFFF"/>
            <w:noWrap/>
            <w:vAlign w:val="center"/>
            <w:hideMark/>
          </w:tcPr>
          <w:p w14:paraId="7C5A407C" w14:textId="77777777" w:rsidR="00B7630C" w:rsidRPr="0094337B" w:rsidRDefault="00B7630C" w:rsidP="002F0256">
            <w:pPr>
              <w:jc w:val="center"/>
              <w:rPr>
                <w:rFonts w:ascii="Arial" w:hAnsi="Arial" w:cs="Arial"/>
                <w:color w:val="000000"/>
                <w:sz w:val="18"/>
                <w:szCs w:val="18"/>
              </w:rPr>
            </w:pPr>
            <w:r w:rsidRPr="0094337B">
              <w:rPr>
                <w:rFonts w:ascii="Arial" w:hAnsi="Arial" w:cs="Arial"/>
                <w:color w:val="000000"/>
                <w:sz w:val="18"/>
                <w:szCs w:val="18"/>
              </w:rPr>
              <w:t>Thermique</w:t>
            </w:r>
          </w:p>
        </w:tc>
        <w:tc>
          <w:tcPr>
            <w:tcW w:w="466" w:type="pct"/>
            <w:vMerge w:val="restart"/>
            <w:tcBorders>
              <w:top w:val="single" w:sz="4" w:space="0" w:color="auto"/>
              <w:left w:val="nil"/>
              <w:right w:val="single" w:sz="4" w:space="0" w:color="auto"/>
            </w:tcBorders>
            <w:shd w:val="clear" w:color="auto" w:fill="auto"/>
            <w:vAlign w:val="center"/>
            <w:hideMark/>
          </w:tcPr>
          <w:p w14:paraId="2D68CD29" w14:textId="14AB9C18"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c>
          <w:tcPr>
            <w:tcW w:w="627" w:type="pct"/>
            <w:vMerge w:val="restart"/>
            <w:tcBorders>
              <w:top w:val="single" w:sz="4" w:space="0" w:color="auto"/>
              <w:left w:val="nil"/>
              <w:right w:val="single" w:sz="4" w:space="0" w:color="auto"/>
            </w:tcBorders>
            <w:shd w:val="clear" w:color="auto" w:fill="auto"/>
            <w:vAlign w:val="center"/>
          </w:tcPr>
          <w:p w14:paraId="289357F7" w14:textId="6EF90FBB" w:rsidR="00B7630C" w:rsidRPr="0094337B" w:rsidRDefault="00D905C9" w:rsidP="002F0256">
            <w:pPr>
              <w:jc w:val="center"/>
              <w:rPr>
                <w:rFonts w:ascii="Arial" w:hAnsi="Arial" w:cs="Arial"/>
                <w:color w:val="000000"/>
                <w:sz w:val="18"/>
                <w:szCs w:val="18"/>
              </w:rPr>
            </w:pPr>
            <w:r>
              <w:rPr>
                <w:rFonts w:ascii="Arial" w:hAnsi="Arial" w:cs="Arial"/>
                <w:color w:val="000000"/>
                <w:sz w:val="18"/>
                <w:szCs w:val="18"/>
              </w:rPr>
              <w:t>39</w:t>
            </w:r>
          </w:p>
        </w:tc>
        <w:tc>
          <w:tcPr>
            <w:tcW w:w="871" w:type="pct"/>
            <w:tcBorders>
              <w:top w:val="single" w:sz="4" w:space="0" w:color="auto"/>
              <w:left w:val="nil"/>
              <w:bottom w:val="single" w:sz="4" w:space="0" w:color="auto"/>
              <w:right w:val="single" w:sz="4" w:space="0" w:color="auto"/>
            </w:tcBorders>
            <w:shd w:val="clear" w:color="auto" w:fill="auto"/>
            <w:vAlign w:val="center"/>
          </w:tcPr>
          <w:p w14:paraId="67FCE067" w14:textId="77777777" w:rsidR="00B7630C" w:rsidRDefault="00B7630C" w:rsidP="003A1067">
            <w:pPr>
              <w:rPr>
                <w:rFonts w:ascii="Arial" w:hAnsi="Arial" w:cs="Arial"/>
                <w:color w:val="000000"/>
                <w:sz w:val="18"/>
                <w:szCs w:val="18"/>
              </w:rPr>
            </w:pPr>
            <w:r>
              <w:rPr>
                <w:rFonts w:ascii="Arial" w:hAnsi="Arial" w:cs="Arial"/>
                <w:color w:val="000000"/>
                <w:sz w:val="18"/>
                <w:szCs w:val="18"/>
              </w:rPr>
              <w:t>TOTAL EXP/Camion</w:t>
            </w:r>
          </w:p>
          <w:p w14:paraId="37A26FCE" w14:textId="6B39CD5F" w:rsidR="00B7630C" w:rsidRPr="0094337B" w:rsidRDefault="00B7630C" w:rsidP="002F0256">
            <w:pPr>
              <w:rPr>
                <w:rFonts w:ascii="Arial" w:hAnsi="Arial" w:cs="Arial"/>
                <w:color w:val="000000"/>
                <w:sz w:val="18"/>
                <w:szCs w:val="18"/>
              </w:rPr>
            </w:pPr>
            <w:r>
              <w:rPr>
                <w:rFonts w:ascii="Arial" w:hAnsi="Arial" w:cs="Arial"/>
                <w:color w:val="000000"/>
                <w:sz w:val="18"/>
                <w:szCs w:val="18"/>
              </w:rPr>
              <w:t>Explosion/Rupture pneumatique</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6DA7F9D7" w14:textId="0000BE66"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60289C4C" w14:textId="79A1DEC5" w:rsidR="00B7630C" w:rsidRPr="0094337B"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r>
      <w:tr w:rsidR="00B7630C" w:rsidRPr="0094337B" w14:paraId="07F2DAC1" w14:textId="77777777" w:rsidTr="00B7630C">
        <w:trPr>
          <w:trHeight w:val="20"/>
        </w:trPr>
        <w:tc>
          <w:tcPr>
            <w:tcW w:w="1108" w:type="pct"/>
            <w:vMerge/>
            <w:tcBorders>
              <w:left w:val="single" w:sz="4" w:space="0" w:color="auto"/>
              <w:right w:val="single" w:sz="4" w:space="0" w:color="auto"/>
            </w:tcBorders>
            <w:vAlign w:val="center"/>
          </w:tcPr>
          <w:p w14:paraId="42D01868" w14:textId="77777777" w:rsidR="00B7630C" w:rsidRPr="0094337B" w:rsidRDefault="00B7630C" w:rsidP="002F0256">
            <w:pPr>
              <w:rPr>
                <w:rFonts w:ascii="Arial" w:hAnsi="Arial" w:cs="Arial"/>
                <w:color w:val="000000"/>
                <w:sz w:val="18"/>
                <w:szCs w:val="18"/>
              </w:rPr>
            </w:pPr>
          </w:p>
        </w:tc>
        <w:tc>
          <w:tcPr>
            <w:tcW w:w="506" w:type="pct"/>
            <w:vMerge/>
            <w:tcBorders>
              <w:left w:val="nil"/>
              <w:right w:val="single" w:sz="4" w:space="0" w:color="auto"/>
            </w:tcBorders>
            <w:shd w:val="clear" w:color="auto" w:fill="auto"/>
            <w:vAlign w:val="center"/>
          </w:tcPr>
          <w:p w14:paraId="444519AF" w14:textId="77777777" w:rsidR="00B7630C" w:rsidRPr="0094337B" w:rsidRDefault="00B7630C" w:rsidP="002F0256">
            <w:pPr>
              <w:jc w:val="center"/>
              <w:rPr>
                <w:rFonts w:ascii="Arial" w:hAnsi="Arial" w:cs="Arial"/>
                <w:color w:val="000000"/>
                <w:sz w:val="18"/>
                <w:szCs w:val="18"/>
              </w:rPr>
            </w:pPr>
          </w:p>
        </w:tc>
        <w:tc>
          <w:tcPr>
            <w:tcW w:w="584" w:type="pct"/>
            <w:vMerge/>
            <w:tcBorders>
              <w:left w:val="nil"/>
              <w:right w:val="single" w:sz="4" w:space="0" w:color="auto"/>
            </w:tcBorders>
            <w:shd w:val="clear" w:color="000000" w:fill="FFFFFF"/>
            <w:noWrap/>
            <w:vAlign w:val="center"/>
          </w:tcPr>
          <w:p w14:paraId="29F7287D" w14:textId="77777777" w:rsidR="00B7630C" w:rsidRPr="0094337B" w:rsidRDefault="00B7630C" w:rsidP="002F0256">
            <w:pPr>
              <w:jc w:val="center"/>
              <w:rPr>
                <w:rFonts w:ascii="Arial" w:hAnsi="Arial" w:cs="Arial"/>
                <w:color w:val="000000"/>
                <w:sz w:val="18"/>
                <w:szCs w:val="18"/>
              </w:rPr>
            </w:pPr>
          </w:p>
        </w:tc>
        <w:tc>
          <w:tcPr>
            <w:tcW w:w="466" w:type="pct"/>
            <w:vMerge/>
            <w:tcBorders>
              <w:left w:val="nil"/>
              <w:right w:val="single" w:sz="4" w:space="0" w:color="auto"/>
            </w:tcBorders>
            <w:shd w:val="clear" w:color="auto" w:fill="auto"/>
            <w:vAlign w:val="center"/>
          </w:tcPr>
          <w:p w14:paraId="09D91C0E" w14:textId="77777777" w:rsidR="00B7630C" w:rsidRDefault="00B7630C" w:rsidP="002F0256">
            <w:pPr>
              <w:jc w:val="center"/>
              <w:rPr>
                <w:rFonts w:ascii="Arial" w:hAnsi="Arial" w:cs="Arial"/>
                <w:color w:val="000000"/>
                <w:sz w:val="18"/>
                <w:szCs w:val="18"/>
              </w:rPr>
            </w:pPr>
          </w:p>
        </w:tc>
        <w:tc>
          <w:tcPr>
            <w:tcW w:w="627" w:type="pct"/>
            <w:vMerge/>
            <w:tcBorders>
              <w:left w:val="nil"/>
              <w:right w:val="single" w:sz="4" w:space="0" w:color="auto"/>
            </w:tcBorders>
            <w:shd w:val="clear" w:color="auto" w:fill="auto"/>
            <w:vAlign w:val="center"/>
          </w:tcPr>
          <w:p w14:paraId="6915F3FD" w14:textId="77777777" w:rsidR="00B7630C" w:rsidRPr="0094337B" w:rsidRDefault="00B7630C" w:rsidP="002F0256">
            <w:pPr>
              <w:jc w:val="center"/>
              <w:rPr>
                <w:rFonts w:ascii="Arial" w:hAnsi="Arial" w:cs="Arial"/>
                <w:color w:val="000000"/>
                <w:sz w:val="18"/>
                <w:szCs w:val="18"/>
              </w:rPr>
            </w:pPr>
          </w:p>
        </w:tc>
        <w:tc>
          <w:tcPr>
            <w:tcW w:w="871" w:type="pct"/>
            <w:tcBorders>
              <w:top w:val="single" w:sz="4" w:space="0" w:color="auto"/>
              <w:left w:val="nil"/>
              <w:bottom w:val="single" w:sz="4" w:space="0" w:color="auto"/>
              <w:right w:val="single" w:sz="4" w:space="0" w:color="auto"/>
            </w:tcBorders>
            <w:shd w:val="clear" w:color="auto" w:fill="auto"/>
            <w:vAlign w:val="center"/>
          </w:tcPr>
          <w:p w14:paraId="06523159" w14:textId="77777777" w:rsidR="00D905C9" w:rsidRDefault="00B7630C" w:rsidP="002F0256">
            <w:pPr>
              <w:rPr>
                <w:rFonts w:ascii="Arial" w:hAnsi="Arial" w:cs="Arial"/>
                <w:color w:val="000000"/>
                <w:sz w:val="18"/>
                <w:szCs w:val="18"/>
              </w:rPr>
            </w:pPr>
            <w:r>
              <w:rPr>
                <w:rFonts w:ascii="Arial" w:hAnsi="Arial" w:cs="Arial"/>
                <w:color w:val="000000"/>
                <w:sz w:val="18"/>
                <w:szCs w:val="18"/>
              </w:rPr>
              <w:t>TOTAL RES/C</w:t>
            </w:r>
            <w:r w:rsidRPr="002F0256">
              <w:rPr>
                <w:rFonts w:ascii="Arial" w:hAnsi="Arial" w:cs="Arial"/>
                <w:color w:val="000000"/>
                <w:sz w:val="18"/>
                <w:szCs w:val="18"/>
              </w:rPr>
              <w:t>analisation torche principal 40''</w:t>
            </w:r>
          </w:p>
          <w:p w14:paraId="0A3E25E0" w14:textId="1A3BE63F" w:rsidR="00B7630C" w:rsidRDefault="00D905C9" w:rsidP="002F0256">
            <w:pPr>
              <w:rPr>
                <w:rFonts w:ascii="Arial" w:hAnsi="Arial" w:cs="Arial"/>
                <w:color w:val="000000"/>
                <w:sz w:val="18"/>
                <w:szCs w:val="18"/>
              </w:rPr>
            </w:pPr>
            <w:r>
              <w:rPr>
                <w:rFonts w:ascii="Arial" w:hAnsi="Arial" w:cs="Arial"/>
                <w:color w:val="000000"/>
                <w:sz w:val="18"/>
                <w:szCs w:val="18"/>
              </w:rPr>
              <w:t>Jet enflammé</w:t>
            </w:r>
          </w:p>
        </w:tc>
        <w:tc>
          <w:tcPr>
            <w:tcW w:w="403" w:type="pct"/>
            <w:tcBorders>
              <w:top w:val="single" w:sz="4" w:space="0" w:color="auto"/>
              <w:left w:val="nil"/>
              <w:bottom w:val="single" w:sz="4" w:space="0" w:color="auto"/>
              <w:right w:val="single" w:sz="4" w:space="0" w:color="auto"/>
            </w:tcBorders>
            <w:shd w:val="clear" w:color="auto" w:fill="auto"/>
            <w:vAlign w:val="center"/>
          </w:tcPr>
          <w:p w14:paraId="0D3FCA9C" w14:textId="7270DDC7" w:rsidR="00B7630C" w:rsidRDefault="00B7630C" w:rsidP="00D905C9">
            <w:pPr>
              <w:jc w:val="center"/>
              <w:rPr>
                <w:rFonts w:ascii="Arial" w:hAnsi="Arial" w:cs="Arial"/>
                <w:color w:val="000000"/>
                <w:sz w:val="18"/>
                <w:szCs w:val="18"/>
              </w:rPr>
            </w:pPr>
            <w:r>
              <w:rPr>
                <w:rFonts w:ascii="Arial" w:hAnsi="Arial" w:cs="Arial"/>
                <w:color w:val="000000"/>
                <w:sz w:val="18"/>
                <w:szCs w:val="18"/>
              </w:rPr>
              <w:t>Pas d’effets hors site</w:t>
            </w:r>
          </w:p>
        </w:tc>
        <w:tc>
          <w:tcPr>
            <w:tcW w:w="435" w:type="pct"/>
            <w:tcBorders>
              <w:top w:val="single" w:sz="4" w:space="0" w:color="auto"/>
              <w:left w:val="nil"/>
              <w:bottom w:val="single" w:sz="4" w:space="0" w:color="auto"/>
              <w:right w:val="single" w:sz="4" w:space="0" w:color="auto"/>
            </w:tcBorders>
            <w:shd w:val="clear" w:color="auto" w:fill="auto"/>
            <w:vAlign w:val="center"/>
          </w:tcPr>
          <w:p w14:paraId="634C7A0B" w14:textId="02FF98FF" w:rsidR="00B7630C"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r>
      <w:tr w:rsidR="00B7630C" w:rsidRPr="0094337B" w14:paraId="0B65EFFC" w14:textId="77777777" w:rsidTr="00B7630C">
        <w:trPr>
          <w:trHeight w:val="20"/>
        </w:trPr>
        <w:tc>
          <w:tcPr>
            <w:tcW w:w="1108" w:type="pct"/>
            <w:vMerge/>
            <w:tcBorders>
              <w:left w:val="single" w:sz="4" w:space="0" w:color="auto"/>
              <w:bottom w:val="single" w:sz="4" w:space="0" w:color="000000"/>
              <w:right w:val="single" w:sz="4" w:space="0" w:color="auto"/>
            </w:tcBorders>
            <w:vAlign w:val="center"/>
          </w:tcPr>
          <w:p w14:paraId="7226C69C" w14:textId="77777777" w:rsidR="00B7630C" w:rsidRPr="0094337B" w:rsidRDefault="00B7630C" w:rsidP="002F0256">
            <w:pPr>
              <w:rPr>
                <w:rFonts w:ascii="Arial" w:hAnsi="Arial" w:cs="Arial"/>
                <w:color w:val="000000"/>
                <w:sz w:val="18"/>
                <w:szCs w:val="18"/>
              </w:rPr>
            </w:pPr>
          </w:p>
        </w:tc>
        <w:tc>
          <w:tcPr>
            <w:tcW w:w="506" w:type="pct"/>
            <w:vMerge/>
            <w:tcBorders>
              <w:left w:val="nil"/>
              <w:bottom w:val="single" w:sz="4" w:space="0" w:color="auto"/>
              <w:right w:val="single" w:sz="4" w:space="0" w:color="auto"/>
            </w:tcBorders>
            <w:shd w:val="clear" w:color="auto" w:fill="auto"/>
            <w:vAlign w:val="center"/>
          </w:tcPr>
          <w:p w14:paraId="549E473B" w14:textId="77777777" w:rsidR="00B7630C" w:rsidRPr="0094337B" w:rsidRDefault="00B7630C" w:rsidP="002F0256">
            <w:pPr>
              <w:jc w:val="center"/>
              <w:rPr>
                <w:rFonts w:ascii="Arial" w:hAnsi="Arial" w:cs="Arial"/>
                <w:color w:val="000000"/>
                <w:sz w:val="18"/>
                <w:szCs w:val="18"/>
              </w:rPr>
            </w:pPr>
          </w:p>
        </w:tc>
        <w:tc>
          <w:tcPr>
            <w:tcW w:w="584" w:type="pct"/>
            <w:vMerge/>
            <w:tcBorders>
              <w:left w:val="nil"/>
              <w:bottom w:val="single" w:sz="4" w:space="0" w:color="auto"/>
              <w:right w:val="single" w:sz="4" w:space="0" w:color="auto"/>
            </w:tcBorders>
            <w:shd w:val="clear" w:color="000000" w:fill="FFFFFF"/>
            <w:noWrap/>
            <w:vAlign w:val="center"/>
          </w:tcPr>
          <w:p w14:paraId="571F8650" w14:textId="77777777" w:rsidR="00B7630C" w:rsidRPr="0094337B" w:rsidRDefault="00B7630C" w:rsidP="002F0256">
            <w:pPr>
              <w:jc w:val="center"/>
              <w:rPr>
                <w:rFonts w:ascii="Arial" w:hAnsi="Arial" w:cs="Arial"/>
                <w:color w:val="000000"/>
                <w:sz w:val="18"/>
                <w:szCs w:val="18"/>
              </w:rPr>
            </w:pPr>
          </w:p>
        </w:tc>
        <w:tc>
          <w:tcPr>
            <w:tcW w:w="466" w:type="pct"/>
            <w:vMerge/>
            <w:tcBorders>
              <w:left w:val="nil"/>
              <w:bottom w:val="single" w:sz="4" w:space="0" w:color="auto"/>
              <w:right w:val="single" w:sz="4" w:space="0" w:color="auto"/>
            </w:tcBorders>
            <w:shd w:val="clear" w:color="auto" w:fill="auto"/>
            <w:vAlign w:val="center"/>
          </w:tcPr>
          <w:p w14:paraId="6F7089C5" w14:textId="77777777" w:rsidR="00B7630C" w:rsidRDefault="00B7630C" w:rsidP="002F0256">
            <w:pPr>
              <w:jc w:val="center"/>
              <w:rPr>
                <w:rFonts w:ascii="Arial" w:hAnsi="Arial" w:cs="Arial"/>
                <w:color w:val="000000"/>
                <w:sz w:val="18"/>
                <w:szCs w:val="18"/>
              </w:rPr>
            </w:pPr>
          </w:p>
        </w:tc>
        <w:tc>
          <w:tcPr>
            <w:tcW w:w="627" w:type="pct"/>
            <w:vMerge/>
            <w:tcBorders>
              <w:left w:val="nil"/>
              <w:bottom w:val="single" w:sz="4" w:space="0" w:color="auto"/>
              <w:right w:val="single" w:sz="4" w:space="0" w:color="auto"/>
            </w:tcBorders>
            <w:shd w:val="clear" w:color="auto" w:fill="auto"/>
            <w:vAlign w:val="center"/>
          </w:tcPr>
          <w:p w14:paraId="4B623B2F" w14:textId="77777777" w:rsidR="00B7630C" w:rsidRPr="0094337B" w:rsidRDefault="00B7630C" w:rsidP="002F0256">
            <w:pPr>
              <w:jc w:val="center"/>
              <w:rPr>
                <w:rFonts w:ascii="Arial" w:hAnsi="Arial" w:cs="Arial"/>
                <w:color w:val="000000"/>
                <w:sz w:val="18"/>
                <w:szCs w:val="18"/>
              </w:rPr>
            </w:pPr>
          </w:p>
        </w:tc>
        <w:tc>
          <w:tcPr>
            <w:tcW w:w="871" w:type="pct"/>
            <w:tcBorders>
              <w:top w:val="single" w:sz="4" w:space="0" w:color="auto"/>
              <w:left w:val="nil"/>
              <w:bottom w:val="single" w:sz="4" w:space="0" w:color="auto"/>
              <w:right w:val="single" w:sz="4" w:space="0" w:color="auto"/>
            </w:tcBorders>
            <w:shd w:val="clear" w:color="auto" w:fill="auto"/>
            <w:vAlign w:val="center"/>
          </w:tcPr>
          <w:p w14:paraId="012FAF6B" w14:textId="77777777" w:rsidR="00B7630C" w:rsidRDefault="00B7630C" w:rsidP="002F0256">
            <w:pPr>
              <w:rPr>
                <w:rFonts w:ascii="Arial" w:hAnsi="Arial" w:cs="Arial"/>
                <w:color w:val="000000"/>
                <w:sz w:val="18"/>
                <w:szCs w:val="18"/>
              </w:rPr>
            </w:pPr>
            <w:r>
              <w:rPr>
                <w:rFonts w:ascii="Arial" w:hAnsi="Arial" w:cs="Arial"/>
                <w:color w:val="000000"/>
                <w:sz w:val="18"/>
                <w:szCs w:val="18"/>
              </w:rPr>
              <w:t>TOTAL RES/Canalisation FG vers chaudière</w:t>
            </w:r>
          </w:p>
          <w:p w14:paraId="12855437" w14:textId="6A7DAD5E" w:rsidR="00D905C9" w:rsidRDefault="00D905C9" w:rsidP="00D905C9">
            <w:pPr>
              <w:rPr>
                <w:rFonts w:ascii="Arial" w:hAnsi="Arial" w:cs="Arial"/>
                <w:color w:val="000000"/>
                <w:sz w:val="18"/>
                <w:szCs w:val="18"/>
              </w:rPr>
            </w:pPr>
            <w:r>
              <w:rPr>
                <w:rFonts w:ascii="Arial" w:hAnsi="Arial" w:cs="Arial"/>
                <w:color w:val="000000"/>
                <w:sz w:val="18"/>
                <w:szCs w:val="18"/>
              </w:rPr>
              <w:t>Jet enflammé</w:t>
            </w:r>
          </w:p>
        </w:tc>
        <w:tc>
          <w:tcPr>
            <w:tcW w:w="403" w:type="pct"/>
            <w:tcBorders>
              <w:top w:val="single" w:sz="4" w:space="0" w:color="auto"/>
              <w:left w:val="nil"/>
              <w:bottom w:val="single" w:sz="4" w:space="0" w:color="auto"/>
              <w:right w:val="single" w:sz="4" w:space="0" w:color="auto"/>
            </w:tcBorders>
            <w:shd w:val="clear" w:color="auto" w:fill="auto"/>
            <w:vAlign w:val="center"/>
          </w:tcPr>
          <w:p w14:paraId="1FFC892A" w14:textId="7F77EF1E" w:rsidR="00B7630C"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c>
          <w:tcPr>
            <w:tcW w:w="435" w:type="pct"/>
            <w:tcBorders>
              <w:top w:val="single" w:sz="4" w:space="0" w:color="auto"/>
              <w:left w:val="nil"/>
              <w:bottom w:val="single" w:sz="4" w:space="0" w:color="auto"/>
              <w:right w:val="single" w:sz="4" w:space="0" w:color="auto"/>
            </w:tcBorders>
            <w:shd w:val="clear" w:color="auto" w:fill="auto"/>
            <w:vAlign w:val="center"/>
          </w:tcPr>
          <w:p w14:paraId="3626D92A" w14:textId="371D55C6" w:rsidR="00B7630C" w:rsidRDefault="00B7630C" w:rsidP="002F0256">
            <w:pPr>
              <w:jc w:val="center"/>
              <w:rPr>
                <w:rFonts w:ascii="Arial" w:hAnsi="Arial" w:cs="Arial"/>
                <w:color w:val="000000"/>
                <w:sz w:val="18"/>
                <w:szCs w:val="18"/>
              </w:rPr>
            </w:pPr>
            <w:r>
              <w:rPr>
                <w:rFonts w:ascii="Arial" w:hAnsi="Arial" w:cs="Arial"/>
                <w:color w:val="000000"/>
                <w:sz w:val="18"/>
                <w:szCs w:val="18"/>
              </w:rPr>
              <w:t>Pas d’effets hors site</w:t>
            </w:r>
          </w:p>
        </w:tc>
      </w:tr>
    </w:tbl>
    <w:p w14:paraId="096B3B4A" w14:textId="77777777" w:rsidR="0089628F" w:rsidRDefault="0089628F" w:rsidP="0089628F">
      <w:pPr>
        <w:pStyle w:val="Texte"/>
        <w:spacing w:before="200" w:after="0" w:line="276" w:lineRule="auto"/>
        <w:ind w:left="0"/>
        <w:rPr>
          <w:rFonts w:cs="Arial"/>
          <w:szCs w:val="20"/>
        </w:rPr>
      </w:pPr>
      <w:r>
        <w:rPr>
          <w:rFonts w:cs="Arial"/>
          <w:szCs w:val="20"/>
        </w:rPr>
        <w:t>Il en ressort que ce scénario complémentaire ne génère pas d’effets en dehors de la plateforme par effet domino.</w:t>
      </w:r>
    </w:p>
    <w:p w14:paraId="20CB6827" w14:textId="77777777" w:rsidR="0053336F" w:rsidRDefault="0053336F" w:rsidP="0053336F">
      <w:pPr>
        <w:pStyle w:val="Texte"/>
        <w:spacing w:before="200" w:after="0" w:line="276" w:lineRule="auto"/>
        <w:ind w:left="0"/>
        <w:rPr>
          <w:rFonts w:cs="Arial"/>
          <w:szCs w:val="20"/>
        </w:rPr>
      </w:pPr>
    </w:p>
    <w:p w14:paraId="37CEF42D" w14:textId="58FE40E5" w:rsidR="00BB5E5F" w:rsidRPr="007C4F13" w:rsidRDefault="0053336F" w:rsidP="0053336F">
      <w:pPr>
        <w:pStyle w:val="Texte"/>
        <w:spacing w:before="200" w:after="0" w:line="276" w:lineRule="auto"/>
        <w:ind w:left="0"/>
        <w:rPr>
          <w:rFonts w:cs="Arial"/>
          <w:szCs w:val="20"/>
        </w:rPr>
      </w:pPr>
      <w:r w:rsidRPr="007C4F13">
        <w:rPr>
          <w:rFonts w:cs="Arial"/>
          <w:szCs w:val="20"/>
        </w:rPr>
        <w:t>De manière plus générale, la recommandation po</w:t>
      </w:r>
      <w:r w:rsidR="00BB5E5F" w:rsidRPr="007C4F13">
        <w:rPr>
          <w:rFonts w:cs="Arial"/>
          <w:szCs w:val="20"/>
        </w:rPr>
        <w:t xml:space="preserve">se la question des effets extérieurs des installations </w:t>
      </w:r>
      <w:proofErr w:type="spellStart"/>
      <w:r w:rsidR="00BB5E5F" w:rsidRPr="007C4F13">
        <w:rPr>
          <w:rFonts w:cs="Arial"/>
          <w:szCs w:val="20"/>
        </w:rPr>
        <w:t>Ecoslops</w:t>
      </w:r>
      <w:proofErr w:type="spellEnd"/>
      <w:r w:rsidR="00BB5E5F" w:rsidRPr="007C4F13">
        <w:rPr>
          <w:rFonts w:cs="Arial"/>
          <w:szCs w:val="20"/>
        </w:rPr>
        <w:t xml:space="preserve"> au-delà des limites de son implantation</w:t>
      </w:r>
      <w:r w:rsidR="008A6298" w:rsidRPr="007C4F13">
        <w:rPr>
          <w:rFonts w:cs="Arial"/>
          <w:szCs w:val="20"/>
        </w:rPr>
        <w:t xml:space="preserve"> </w:t>
      </w:r>
      <w:r w:rsidR="006D500B" w:rsidRPr="007C4F13">
        <w:rPr>
          <w:rFonts w:cs="Arial"/>
          <w:szCs w:val="20"/>
        </w:rPr>
        <w:t>au sein de la plate</w:t>
      </w:r>
      <w:r w:rsidR="008A6298" w:rsidRPr="007C4F13">
        <w:rPr>
          <w:rFonts w:cs="Arial"/>
          <w:szCs w:val="20"/>
        </w:rPr>
        <w:t>forme de La Mède</w:t>
      </w:r>
      <w:r w:rsidR="00BB5E5F" w:rsidRPr="007C4F13">
        <w:rPr>
          <w:rFonts w:cs="Arial"/>
          <w:szCs w:val="20"/>
        </w:rPr>
        <w:t>.</w:t>
      </w:r>
    </w:p>
    <w:p w14:paraId="4005237E" w14:textId="77777777" w:rsidR="007C4F13" w:rsidRPr="00BA7D32" w:rsidRDefault="00BB5E5F" w:rsidP="0053336F">
      <w:pPr>
        <w:pStyle w:val="Texte"/>
        <w:spacing w:before="200" w:after="0" w:line="276" w:lineRule="auto"/>
        <w:ind w:left="0"/>
        <w:rPr>
          <w:rFonts w:cs="Arial"/>
          <w:szCs w:val="20"/>
        </w:rPr>
      </w:pPr>
      <w:proofErr w:type="spellStart"/>
      <w:r w:rsidRPr="00BA7D32">
        <w:rPr>
          <w:rFonts w:cs="Arial"/>
          <w:szCs w:val="20"/>
        </w:rPr>
        <w:t>Ecoslops</w:t>
      </w:r>
      <w:proofErr w:type="spellEnd"/>
      <w:r w:rsidRPr="00BA7D32">
        <w:rPr>
          <w:rFonts w:cs="Arial"/>
          <w:szCs w:val="20"/>
        </w:rPr>
        <w:t xml:space="preserve"> disposer</w:t>
      </w:r>
      <w:r w:rsidR="008A6298" w:rsidRPr="00BA7D32">
        <w:rPr>
          <w:rFonts w:cs="Arial"/>
          <w:szCs w:val="20"/>
        </w:rPr>
        <w:t>a</w:t>
      </w:r>
      <w:r w:rsidRPr="00BA7D32">
        <w:rPr>
          <w:rFonts w:cs="Arial"/>
          <w:szCs w:val="20"/>
        </w:rPr>
        <w:t xml:space="preserve"> d’un POI (Plan d’Opération Interne) et ce POI</w:t>
      </w:r>
      <w:r w:rsidR="004D1E6A" w:rsidRPr="00BA7D32">
        <w:rPr>
          <w:rFonts w:cs="Arial"/>
          <w:szCs w:val="20"/>
        </w:rPr>
        <w:t xml:space="preserve"> sera</w:t>
      </w:r>
      <w:r w:rsidR="006D500B" w:rsidRPr="00BA7D32">
        <w:rPr>
          <w:rFonts w:cs="Arial"/>
          <w:szCs w:val="20"/>
        </w:rPr>
        <w:t xml:space="preserve"> </w:t>
      </w:r>
      <w:r w:rsidR="007C4F13" w:rsidRPr="00BA7D32">
        <w:rPr>
          <w:rFonts w:cs="Arial"/>
          <w:szCs w:val="20"/>
        </w:rPr>
        <w:t>rattaché à l’organisation POI de la plateforme. Ces deux POI seront rendus cohérents par notamment :</w:t>
      </w:r>
    </w:p>
    <w:p w14:paraId="5D891504" w14:textId="202F7A1C" w:rsidR="009B7438" w:rsidRPr="00BA7D32" w:rsidRDefault="009B7438" w:rsidP="009B7438">
      <w:pPr>
        <w:pStyle w:val="Texte"/>
        <w:numPr>
          <w:ilvl w:val="0"/>
          <w:numId w:val="28"/>
        </w:numPr>
        <w:spacing w:before="200" w:after="0" w:line="276" w:lineRule="auto"/>
        <w:rPr>
          <w:rFonts w:cs="Arial"/>
          <w:szCs w:val="20"/>
        </w:rPr>
      </w:pPr>
      <w:r w:rsidRPr="00BA7D32">
        <w:rPr>
          <w:rFonts w:cs="Arial"/>
          <w:szCs w:val="20"/>
        </w:rPr>
        <w:t xml:space="preserve">La connaissance mutuelle des risques </w:t>
      </w:r>
    </w:p>
    <w:p w14:paraId="5EEF8D3F" w14:textId="3859867C" w:rsidR="004D1E6A" w:rsidRPr="00BA7D32" w:rsidRDefault="004D1E6A" w:rsidP="009B7438">
      <w:pPr>
        <w:pStyle w:val="Texte"/>
        <w:numPr>
          <w:ilvl w:val="0"/>
          <w:numId w:val="28"/>
        </w:numPr>
        <w:spacing w:before="200" w:after="0" w:line="276" w:lineRule="auto"/>
        <w:rPr>
          <w:rFonts w:cs="Arial"/>
          <w:szCs w:val="20"/>
        </w:rPr>
      </w:pPr>
      <w:r w:rsidRPr="00BA7D32">
        <w:rPr>
          <w:rFonts w:cs="Arial"/>
          <w:szCs w:val="20"/>
        </w:rPr>
        <w:t>La description des mesures à prendre en cas d’accident</w:t>
      </w:r>
    </w:p>
    <w:p w14:paraId="47F6825E" w14:textId="586C35C6" w:rsidR="004D1E6A" w:rsidRPr="00BA7D32" w:rsidRDefault="004D1E6A" w:rsidP="009B7438">
      <w:pPr>
        <w:pStyle w:val="Texte"/>
        <w:numPr>
          <w:ilvl w:val="0"/>
          <w:numId w:val="28"/>
        </w:numPr>
        <w:spacing w:before="200" w:after="0" w:line="276" w:lineRule="auto"/>
        <w:rPr>
          <w:rFonts w:cs="Arial"/>
          <w:szCs w:val="20"/>
        </w:rPr>
      </w:pPr>
      <w:r w:rsidRPr="00BA7D32">
        <w:rPr>
          <w:rFonts w:cs="Arial"/>
          <w:szCs w:val="20"/>
        </w:rPr>
        <w:t xml:space="preserve">L’existence d’un dispositif d’alerte </w:t>
      </w:r>
    </w:p>
    <w:p w14:paraId="63ED595C" w14:textId="1940D92D" w:rsidR="009B7438" w:rsidRPr="00BA7D32" w:rsidRDefault="004D1E6A" w:rsidP="009B7438">
      <w:pPr>
        <w:pStyle w:val="Texte"/>
        <w:numPr>
          <w:ilvl w:val="0"/>
          <w:numId w:val="28"/>
        </w:numPr>
        <w:spacing w:before="200" w:after="0" w:line="276" w:lineRule="auto"/>
        <w:rPr>
          <w:rFonts w:cs="Arial"/>
          <w:szCs w:val="20"/>
        </w:rPr>
      </w:pPr>
      <w:r w:rsidRPr="00BA7D32">
        <w:rPr>
          <w:rFonts w:cs="Arial"/>
          <w:szCs w:val="20"/>
        </w:rPr>
        <w:t xml:space="preserve">La pratique </w:t>
      </w:r>
      <w:r w:rsidR="009B7438" w:rsidRPr="00BA7D32">
        <w:rPr>
          <w:rFonts w:cs="Arial"/>
          <w:szCs w:val="20"/>
        </w:rPr>
        <w:t>d’exercice</w:t>
      </w:r>
      <w:r w:rsidR="007C4F13" w:rsidRPr="00BA7D32">
        <w:rPr>
          <w:rFonts w:cs="Arial"/>
          <w:szCs w:val="20"/>
        </w:rPr>
        <w:t>s en</w:t>
      </w:r>
      <w:r w:rsidR="009B7438" w:rsidRPr="00BA7D32">
        <w:rPr>
          <w:rFonts w:cs="Arial"/>
          <w:szCs w:val="20"/>
        </w:rPr>
        <w:t xml:space="preserve"> commun </w:t>
      </w:r>
    </w:p>
    <w:p w14:paraId="7174AEB2" w14:textId="77777777" w:rsidR="007C4F13" w:rsidRPr="00BA7D32" w:rsidRDefault="009B7438" w:rsidP="0053336F">
      <w:pPr>
        <w:pStyle w:val="Texte"/>
        <w:spacing w:before="200" w:after="0" w:line="276" w:lineRule="auto"/>
        <w:ind w:left="0"/>
        <w:rPr>
          <w:rFonts w:cs="Arial"/>
          <w:szCs w:val="20"/>
        </w:rPr>
      </w:pPr>
      <w:r w:rsidRPr="00BA7D32">
        <w:rPr>
          <w:rFonts w:cs="Arial"/>
          <w:szCs w:val="20"/>
        </w:rPr>
        <w:lastRenderedPageBreak/>
        <w:t xml:space="preserve">La plateforme a </w:t>
      </w:r>
      <w:r w:rsidR="007C4F13" w:rsidRPr="00BA7D32">
        <w:rPr>
          <w:rFonts w:cs="Arial"/>
          <w:szCs w:val="20"/>
        </w:rPr>
        <w:t xml:space="preserve">une organisation similaire avec la carrière voisine de la Société des Carrières </w:t>
      </w:r>
      <w:proofErr w:type="spellStart"/>
      <w:r w:rsidR="007C4F13" w:rsidRPr="00BA7D32">
        <w:rPr>
          <w:rFonts w:cs="Arial"/>
          <w:szCs w:val="20"/>
        </w:rPr>
        <w:t>Gontero</w:t>
      </w:r>
      <w:proofErr w:type="spellEnd"/>
      <w:r w:rsidR="007C4F13" w:rsidRPr="00BA7D32">
        <w:rPr>
          <w:rFonts w:cs="Arial"/>
          <w:szCs w:val="20"/>
        </w:rPr>
        <w:t>.</w:t>
      </w:r>
    </w:p>
    <w:p w14:paraId="43368500" w14:textId="77777777" w:rsidR="00BB5E5F" w:rsidRDefault="00BB5E5F" w:rsidP="0053336F">
      <w:pPr>
        <w:pStyle w:val="Texte"/>
        <w:spacing w:before="200" w:after="0" w:line="276" w:lineRule="auto"/>
        <w:ind w:left="0"/>
        <w:rPr>
          <w:rFonts w:cs="Arial"/>
          <w:szCs w:val="20"/>
        </w:rPr>
      </w:pPr>
    </w:p>
    <w:p w14:paraId="0E161607" w14:textId="77777777" w:rsidR="0053336F" w:rsidRDefault="0053336F" w:rsidP="0053336F"/>
    <w:p w14:paraId="0EFFB5A8" w14:textId="63DD5D1C" w:rsidR="00D905C9" w:rsidRDefault="00D905C9">
      <w:pPr>
        <w:rPr>
          <w:rFonts w:ascii="Arial" w:hAnsi="Arial" w:cs="Arial"/>
        </w:rPr>
      </w:pPr>
    </w:p>
    <w:p w14:paraId="3509A18D" w14:textId="6A9D7EFD" w:rsidR="0089628F" w:rsidRPr="0089628F" w:rsidRDefault="0089628F" w:rsidP="0089628F">
      <w:pPr>
        <w:pBdr>
          <w:top w:val="single" w:sz="4" w:space="1" w:color="auto"/>
          <w:left w:val="single" w:sz="4" w:space="4" w:color="auto"/>
          <w:bottom w:val="single" w:sz="4" w:space="1" w:color="auto"/>
          <w:right w:val="single" w:sz="4" w:space="4" w:color="auto"/>
        </w:pBdr>
        <w:spacing w:before="200" w:line="276" w:lineRule="auto"/>
        <w:jc w:val="both"/>
        <w:rPr>
          <w:rFonts w:ascii="Arial" w:hAnsi="Arial" w:cs="Arial"/>
          <w:b/>
          <w:i/>
        </w:rPr>
      </w:pPr>
      <w:r w:rsidRPr="0089628F">
        <w:rPr>
          <w:rFonts w:ascii="Arial" w:hAnsi="Arial" w:cs="Arial"/>
          <w:b/>
          <w:i/>
        </w:rPr>
        <w:t>Recommandation 5 : Justifier le dimensionnement des évents et corriger si besoin les</w:t>
      </w:r>
      <w:r>
        <w:rPr>
          <w:rFonts w:ascii="Arial" w:hAnsi="Arial" w:cs="Arial"/>
          <w:b/>
          <w:i/>
        </w:rPr>
        <w:t xml:space="preserve"> </w:t>
      </w:r>
      <w:r w:rsidRPr="0089628F">
        <w:rPr>
          <w:rFonts w:ascii="Arial" w:hAnsi="Arial" w:cs="Arial"/>
          <w:b/>
          <w:i/>
        </w:rPr>
        <w:t>fiches scénarios et cartographies associées</w:t>
      </w:r>
    </w:p>
    <w:p w14:paraId="02E8B8E3" w14:textId="193E22E6" w:rsidR="0089628F" w:rsidRPr="00DD75B7" w:rsidRDefault="00D905C9" w:rsidP="00D46441">
      <w:pPr>
        <w:pStyle w:val="Texte"/>
        <w:spacing w:before="200" w:after="0" w:line="276" w:lineRule="auto"/>
        <w:ind w:left="0"/>
        <w:rPr>
          <w:rFonts w:cs="Arial"/>
          <w:b/>
          <w:sz w:val="18"/>
          <w:szCs w:val="20"/>
        </w:rPr>
      </w:pPr>
      <w:r>
        <w:rPr>
          <w:rFonts w:cs="Arial"/>
          <w:b/>
          <w:sz w:val="18"/>
          <w:szCs w:val="20"/>
        </w:rPr>
        <w:t>Extrait de la c</w:t>
      </w:r>
      <w:r w:rsidR="00D46441" w:rsidRPr="00DD75B7">
        <w:rPr>
          <w:rFonts w:cs="Arial"/>
          <w:b/>
          <w:sz w:val="18"/>
          <w:szCs w:val="20"/>
        </w:rPr>
        <w:t>irculaire du 10 mai 2010 récapitulant les règles méthodologiques applicables aux études de dangers, à l’appréciation de la démarche de réduction du risque à la source et aux plans de prévention des risques technologiques (PPRT) dans les installations classées en application de la loi du 30 juillet 2003</w:t>
      </w:r>
      <w:r>
        <w:rPr>
          <w:rFonts w:cs="Arial"/>
          <w:b/>
          <w:sz w:val="18"/>
          <w:szCs w:val="20"/>
        </w:rPr>
        <w:t> :</w:t>
      </w:r>
    </w:p>
    <w:p w14:paraId="2DC158D2" w14:textId="3E311427" w:rsidR="00D46441" w:rsidRPr="00DD75B7" w:rsidRDefault="00D46441" w:rsidP="00D46441">
      <w:pPr>
        <w:pStyle w:val="Texte"/>
        <w:spacing w:before="200" w:after="0" w:line="276" w:lineRule="auto"/>
        <w:ind w:left="0"/>
        <w:rPr>
          <w:rFonts w:cs="Arial"/>
          <w:i/>
          <w:sz w:val="18"/>
          <w:szCs w:val="20"/>
        </w:rPr>
      </w:pPr>
      <w:r w:rsidRPr="00DD75B7">
        <w:rPr>
          <w:rFonts w:cs="Arial"/>
          <w:i/>
          <w:sz w:val="18"/>
          <w:szCs w:val="20"/>
        </w:rPr>
        <w:t>« Le phénomène de pressurisation de bac peut toutefois être prévenu par la mise en place d’évents de respiration suffisamment dimensionnés pour évacuer le gaz en surpression. Le dimensionnement minimal fait l’objet d’une note disponible sur les sites Internet cités ci-dessus.</w:t>
      </w:r>
    </w:p>
    <w:p w14:paraId="4B1D2DDB" w14:textId="48EAFF4D" w:rsidR="00D46441" w:rsidRPr="00DD75B7" w:rsidRDefault="00D46441" w:rsidP="00D46441">
      <w:pPr>
        <w:pStyle w:val="Texte"/>
        <w:spacing w:before="200" w:after="0" w:line="276" w:lineRule="auto"/>
        <w:ind w:left="0"/>
        <w:rPr>
          <w:rFonts w:cs="Arial"/>
          <w:i/>
          <w:sz w:val="18"/>
          <w:szCs w:val="20"/>
        </w:rPr>
      </w:pPr>
      <w:r w:rsidRPr="00DD75B7">
        <w:rPr>
          <w:rFonts w:cs="Arial"/>
          <w:i/>
          <w:sz w:val="18"/>
          <w:szCs w:val="20"/>
        </w:rPr>
        <w:t xml:space="preserve">Ainsi, je vous demande, sauf à ce que l’exploitant utilise le modèle des professionnels cité ci-dessus ou fournisse une autre évaluation des effets assise sur des modèles et des hypothèses dont il démontre et justifie la pertinence, de bien vouloir retenir pour ce phénomène dans les études de dangers sur lesquels vous aurez à vous prononcer les distances d’effets associées au </w:t>
      </w:r>
      <w:proofErr w:type="spellStart"/>
      <w:r w:rsidRPr="00DD75B7">
        <w:rPr>
          <w:rFonts w:cs="Arial"/>
          <w:i/>
          <w:sz w:val="18"/>
          <w:szCs w:val="20"/>
        </w:rPr>
        <w:t>boil</w:t>
      </w:r>
      <w:proofErr w:type="spellEnd"/>
      <w:r w:rsidRPr="00DD75B7">
        <w:rPr>
          <w:rFonts w:cs="Arial"/>
          <w:i/>
          <w:sz w:val="18"/>
          <w:szCs w:val="20"/>
        </w:rPr>
        <w:t xml:space="preserve"> over classique (et ce, pour tous les liquides inflammables) lorsque l’exploitant n’aura pas mis en place d’évents de respiration correctement dimensionnés, et à l’inverse d’accepter une proposition de l’exploitant de considérer le phénomène dangereux comme physiquement impossible lorsque ces évents seront présents. »</w:t>
      </w:r>
    </w:p>
    <w:p w14:paraId="5D2B92F8" w14:textId="7BB336E9" w:rsidR="00DD75B7" w:rsidRPr="00DD75B7" w:rsidRDefault="00D905C9" w:rsidP="00DD75B7">
      <w:pPr>
        <w:pStyle w:val="Texte"/>
        <w:spacing w:before="200" w:after="0" w:line="276" w:lineRule="auto"/>
        <w:ind w:left="0"/>
        <w:rPr>
          <w:rFonts w:cs="Arial"/>
          <w:b/>
          <w:sz w:val="18"/>
          <w:szCs w:val="20"/>
        </w:rPr>
      </w:pPr>
      <w:r>
        <w:rPr>
          <w:rFonts w:cs="Arial"/>
          <w:b/>
          <w:sz w:val="18"/>
          <w:szCs w:val="20"/>
        </w:rPr>
        <w:t>Article 15 de l’a</w:t>
      </w:r>
      <w:r w:rsidR="00DD75B7" w:rsidRPr="00DD75B7">
        <w:rPr>
          <w:rFonts w:cs="Arial"/>
          <w:b/>
          <w:sz w:val="18"/>
          <w:szCs w:val="20"/>
        </w:rPr>
        <w:t>rrêté du 3 octobre 2010 relatif au stockage en réservoirs aériens manufacturés exploités au sein d'une installation classée soumise à autorisation au titre de l'une ou plusieurs des rubriques nos 1436, 4330, 4331, 4722, 4734, 4742, 4743, 4744, 4746, 4747 ou 4748, ou pour le pétrole brut au titre de l'une ou plusieurs des rubriques nos 4510 ou 4511 de la législation des installations classées pour la protection de l'environnement :</w:t>
      </w:r>
    </w:p>
    <w:p w14:paraId="7516ED5B" w14:textId="254E8E9E" w:rsidR="00DD75B7" w:rsidRPr="00DD539E" w:rsidRDefault="00D905C9" w:rsidP="00DD75B7">
      <w:pPr>
        <w:pStyle w:val="Texte"/>
        <w:spacing w:before="200" w:after="0" w:line="276" w:lineRule="auto"/>
        <w:ind w:left="0"/>
        <w:rPr>
          <w:rFonts w:cs="Arial"/>
          <w:i/>
          <w:sz w:val="18"/>
          <w:szCs w:val="20"/>
        </w:rPr>
      </w:pPr>
      <w:r w:rsidRPr="00DD539E">
        <w:rPr>
          <w:rFonts w:cs="Arial"/>
          <w:i/>
          <w:sz w:val="18"/>
          <w:szCs w:val="20"/>
        </w:rPr>
        <w:t xml:space="preserve"> </w:t>
      </w:r>
      <w:r w:rsidR="00DD75B7" w:rsidRPr="00DD539E">
        <w:rPr>
          <w:rFonts w:cs="Arial"/>
          <w:i/>
          <w:sz w:val="18"/>
          <w:szCs w:val="20"/>
        </w:rPr>
        <w:t>« Les réservoirs à toit fixe et les réservoirs à écran flottant sont munis d'un dispositif de respiration limitant, en fonctionnement normal, les pressions ou dépressions aux valeurs prévues lors de la construction et reprises dans le dossier de suivi du réservoir prévu à l'article 28 du présent arrêté.</w:t>
      </w:r>
    </w:p>
    <w:p w14:paraId="0B9CBF1D" w14:textId="77777777" w:rsidR="00DD75B7" w:rsidRPr="00DD539E" w:rsidRDefault="00DD75B7" w:rsidP="00DD75B7">
      <w:pPr>
        <w:pStyle w:val="Texte"/>
        <w:spacing w:before="200" w:after="0" w:line="276" w:lineRule="auto"/>
        <w:ind w:left="0"/>
        <w:rPr>
          <w:rFonts w:cs="Arial"/>
          <w:i/>
          <w:sz w:val="18"/>
          <w:szCs w:val="20"/>
        </w:rPr>
      </w:pPr>
      <w:r w:rsidRPr="00DD539E">
        <w:rPr>
          <w:rFonts w:cs="Arial"/>
          <w:i/>
          <w:sz w:val="18"/>
          <w:szCs w:val="20"/>
        </w:rPr>
        <w:t>Lorsque les zones de dangers graves pour la vie humaine, par effets directs ou indirects, liées à un phénomène dangereux de pressurisation de réservoir sortent des limites du site, l'exploitant met en place des évents dont la surface cumulée Se est a minima celle calculée selon la formule donnée en annexe 1.</w:t>
      </w:r>
    </w:p>
    <w:p w14:paraId="175C632D" w14:textId="77777777" w:rsidR="00DD75B7" w:rsidRPr="00DD539E" w:rsidRDefault="00DD75B7" w:rsidP="00DD75B7">
      <w:pPr>
        <w:pStyle w:val="Texte"/>
        <w:spacing w:before="200" w:after="0" w:line="276" w:lineRule="auto"/>
        <w:ind w:left="0"/>
        <w:rPr>
          <w:rFonts w:cs="Arial"/>
          <w:i/>
          <w:sz w:val="18"/>
          <w:szCs w:val="20"/>
        </w:rPr>
      </w:pPr>
      <w:r w:rsidRPr="00DD539E">
        <w:rPr>
          <w:rFonts w:cs="Arial"/>
          <w:i/>
          <w:sz w:val="18"/>
          <w:szCs w:val="20"/>
        </w:rPr>
        <w:t>Les dispositions du présent article ne sont néanmoins pas applicables :</w:t>
      </w:r>
    </w:p>
    <w:p w14:paraId="4E556C32" w14:textId="77777777" w:rsidR="00DD75B7" w:rsidRPr="00DD539E" w:rsidRDefault="00DD75B7" w:rsidP="00DD75B7">
      <w:pPr>
        <w:pStyle w:val="Texte"/>
        <w:spacing w:after="0" w:line="276" w:lineRule="auto"/>
        <w:ind w:left="0"/>
        <w:rPr>
          <w:rFonts w:cs="Arial"/>
          <w:i/>
          <w:sz w:val="18"/>
          <w:szCs w:val="20"/>
        </w:rPr>
      </w:pPr>
      <w:r w:rsidRPr="00DD539E">
        <w:rPr>
          <w:rFonts w:cs="Arial"/>
          <w:i/>
          <w:sz w:val="18"/>
          <w:szCs w:val="20"/>
        </w:rPr>
        <w:t>- aux réservoirs d'un diamètre supérieur ou égal à 20 mètres ;</w:t>
      </w:r>
    </w:p>
    <w:p w14:paraId="3E249281" w14:textId="77777777" w:rsidR="00DD75B7" w:rsidRPr="00DD539E" w:rsidRDefault="00DD75B7" w:rsidP="00DD75B7">
      <w:pPr>
        <w:pStyle w:val="Texte"/>
        <w:spacing w:after="0" w:line="276" w:lineRule="auto"/>
        <w:ind w:left="0"/>
        <w:rPr>
          <w:rFonts w:cs="Arial"/>
          <w:i/>
          <w:sz w:val="18"/>
          <w:szCs w:val="20"/>
        </w:rPr>
      </w:pPr>
      <w:r w:rsidRPr="00DD539E">
        <w:rPr>
          <w:rFonts w:cs="Arial"/>
          <w:i/>
          <w:sz w:val="18"/>
          <w:szCs w:val="20"/>
        </w:rPr>
        <w:t>- aux réservoirs dont les zones de dangers graves pour la vie humaine hors du site, par effets directs et indirects, générées par une pressurisation de bac :</w:t>
      </w:r>
    </w:p>
    <w:p w14:paraId="1C153EA0" w14:textId="77777777" w:rsidR="00DD75B7" w:rsidRPr="00DD539E" w:rsidRDefault="00DD75B7" w:rsidP="00DD75B7">
      <w:pPr>
        <w:pStyle w:val="Texte"/>
        <w:spacing w:after="0" w:line="276" w:lineRule="auto"/>
        <w:ind w:left="0"/>
        <w:rPr>
          <w:rFonts w:cs="Arial"/>
          <w:i/>
          <w:sz w:val="18"/>
          <w:szCs w:val="20"/>
        </w:rPr>
      </w:pPr>
      <w:r w:rsidRPr="00DD539E">
        <w:rPr>
          <w:rFonts w:cs="Arial"/>
          <w:i/>
          <w:sz w:val="18"/>
          <w:szCs w:val="20"/>
        </w:rPr>
        <w:t>- ne comptent aucun lieu d'occupation humaine et ne sont pas susceptibles d'en faire l'objet soit parce que l'exploitant s'en est assuré la maîtrise foncière, soit parce que le préfet a pris des dispositions en vue de prévenir la construction de nouveaux bâtiments, et ;</w:t>
      </w:r>
    </w:p>
    <w:p w14:paraId="761038D8" w14:textId="41EE5B13" w:rsidR="00DD75B7" w:rsidRPr="00DD539E" w:rsidRDefault="00DD75B7" w:rsidP="00DD75B7">
      <w:pPr>
        <w:pStyle w:val="Texte"/>
        <w:spacing w:after="0" w:line="276" w:lineRule="auto"/>
        <w:ind w:left="0"/>
        <w:rPr>
          <w:rFonts w:cs="Arial"/>
          <w:i/>
          <w:sz w:val="18"/>
          <w:szCs w:val="20"/>
        </w:rPr>
      </w:pPr>
      <w:r w:rsidRPr="00DD539E">
        <w:rPr>
          <w:rFonts w:cs="Arial"/>
          <w:i/>
          <w:sz w:val="18"/>
          <w:szCs w:val="20"/>
        </w:rPr>
        <w:t>- ne comptent aucune voie de circulation ou seulement des voies de circulation pour lesquelles les dispositions des plans d'urgence prévoient une interdiction de circuler. »</w:t>
      </w:r>
    </w:p>
    <w:p w14:paraId="1CECB8A9" w14:textId="665C2966" w:rsidR="00DD75B7" w:rsidRDefault="00DD75B7" w:rsidP="00DD75B7">
      <w:pPr>
        <w:pStyle w:val="Texte"/>
        <w:spacing w:before="200" w:after="0" w:line="276" w:lineRule="auto"/>
        <w:ind w:left="0"/>
        <w:rPr>
          <w:rFonts w:cs="Arial"/>
          <w:szCs w:val="20"/>
        </w:rPr>
      </w:pPr>
      <w:r w:rsidRPr="00DD75B7">
        <w:rPr>
          <w:rFonts w:cs="Arial"/>
          <w:szCs w:val="20"/>
        </w:rPr>
        <w:t xml:space="preserve">Les réservoirs </w:t>
      </w:r>
      <w:r>
        <w:rPr>
          <w:rFonts w:cs="Arial"/>
          <w:szCs w:val="20"/>
        </w:rPr>
        <w:t xml:space="preserve">d’ECOSLOPS seront </w:t>
      </w:r>
      <w:r w:rsidRPr="00DD75B7">
        <w:rPr>
          <w:rFonts w:cs="Arial"/>
          <w:szCs w:val="20"/>
        </w:rPr>
        <w:t xml:space="preserve">à toit fixe </w:t>
      </w:r>
      <w:r>
        <w:rPr>
          <w:rFonts w:cs="Arial"/>
          <w:szCs w:val="20"/>
        </w:rPr>
        <w:t>et auront un</w:t>
      </w:r>
      <w:r w:rsidRPr="00DD75B7">
        <w:rPr>
          <w:rFonts w:cs="Arial"/>
          <w:szCs w:val="20"/>
        </w:rPr>
        <w:t xml:space="preserve"> diamètre inférieur à 20 m</w:t>
      </w:r>
      <w:r>
        <w:rPr>
          <w:rFonts w:cs="Arial"/>
          <w:szCs w:val="20"/>
        </w:rPr>
        <w:t xml:space="preserve">. </w:t>
      </w:r>
      <w:r w:rsidR="00DD539E">
        <w:rPr>
          <w:rFonts w:cs="Arial"/>
          <w:szCs w:val="20"/>
        </w:rPr>
        <w:t>Ils</w:t>
      </w:r>
      <w:r w:rsidR="00DD539E" w:rsidRPr="00DD539E">
        <w:rPr>
          <w:rFonts w:cs="Arial"/>
          <w:szCs w:val="20"/>
        </w:rPr>
        <w:t xml:space="preserve"> ne seront pas à toit frangible (leur diamètre est trop petit). </w:t>
      </w:r>
      <w:r>
        <w:rPr>
          <w:rFonts w:cs="Arial"/>
          <w:szCs w:val="20"/>
        </w:rPr>
        <w:t xml:space="preserve">Ils seront </w:t>
      </w:r>
      <w:r w:rsidRPr="00DD75B7">
        <w:rPr>
          <w:rFonts w:cs="Arial"/>
          <w:szCs w:val="20"/>
        </w:rPr>
        <w:t>munis d’évent(s).</w:t>
      </w:r>
    </w:p>
    <w:p w14:paraId="5C9563BA" w14:textId="51C2148C" w:rsidR="00DD539E" w:rsidRDefault="00DD75B7" w:rsidP="00DD75B7">
      <w:pPr>
        <w:pStyle w:val="Texte"/>
        <w:spacing w:before="200" w:after="0" w:line="276" w:lineRule="auto"/>
        <w:ind w:left="0"/>
        <w:rPr>
          <w:rFonts w:cs="Arial"/>
          <w:szCs w:val="20"/>
        </w:rPr>
      </w:pPr>
      <w:r>
        <w:rPr>
          <w:rFonts w:cs="Arial"/>
          <w:szCs w:val="20"/>
        </w:rPr>
        <w:t xml:space="preserve">Si </w:t>
      </w:r>
      <w:r w:rsidR="00DD539E">
        <w:rPr>
          <w:rFonts w:cs="Arial"/>
          <w:szCs w:val="20"/>
        </w:rPr>
        <w:t>la surface d</w:t>
      </w:r>
      <w:r>
        <w:rPr>
          <w:rFonts w:cs="Arial"/>
          <w:szCs w:val="20"/>
        </w:rPr>
        <w:t>e</w:t>
      </w:r>
      <w:r w:rsidR="00DD539E">
        <w:rPr>
          <w:rFonts w:cs="Arial"/>
          <w:szCs w:val="20"/>
        </w:rPr>
        <w:t xml:space="preserve">s évents est </w:t>
      </w:r>
      <w:proofErr w:type="gramStart"/>
      <w:r w:rsidR="00DD539E">
        <w:rPr>
          <w:rFonts w:cs="Arial"/>
          <w:szCs w:val="20"/>
        </w:rPr>
        <w:t>a</w:t>
      </w:r>
      <w:proofErr w:type="gramEnd"/>
      <w:r w:rsidR="00DD539E">
        <w:rPr>
          <w:rFonts w:cs="Arial"/>
          <w:szCs w:val="20"/>
        </w:rPr>
        <w:t xml:space="preserve"> minima égale à celle calculée selon l</w:t>
      </w:r>
      <w:r w:rsidR="00C81C5E">
        <w:rPr>
          <w:rFonts w:cs="Arial"/>
          <w:szCs w:val="20"/>
        </w:rPr>
        <w:t>es</w:t>
      </w:r>
      <w:r w:rsidR="00DD539E">
        <w:rPr>
          <w:rFonts w:cs="Arial"/>
          <w:szCs w:val="20"/>
        </w:rPr>
        <w:t xml:space="preserve"> formule</w:t>
      </w:r>
      <w:r w:rsidR="00C81C5E">
        <w:rPr>
          <w:rFonts w:cs="Arial"/>
          <w:szCs w:val="20"/>
        </w:rPr>
        <w:t>s</w:t>
      </w:r>
      <w:r w:rsidR="00DD539E">
        <w:rPr>
          <w:rFonts w:cs="Arial"/>
          <w:szCs w:val="20"/>
        </w:rPr>
        <w:t xml:space="preserve"> de l’annexe 1 de l’arrêté du </w:t>
      </w:r>
      <w:r w:rsidR="00667CBD">
        <w:rPr>
          <w:rFonts w:cs="Arial"/>
          <w:szCs w:val="20"/>
        </w:rPr>
        <w:t>3 </w:t>
      </w:r>
      <w:r w:rsidR="00DD539E">
        <w:rPr>
          <w:rFonts w:cs="Arial"/>
          <w:szCs w:val="20"/>
        </w:rPr>
        <w:t xml:space="preserve">octobre 2010, </w:t>
      </w:r>
      <w:r w:rsidR="00DD539E" w:rsidRPr="00DD539E">
        <w:rPr>
          <w:rFonts w:cs="Arial"/>
          <w:szCs w:val="20"/>
        </w:rPr>
        <w:t xml:space="preserve">le phénomène dangereux </w:t>
      </w:r>
      <w:r w:rsidR="00DD539E">
        <w:rPr>
          <w:rFonts w:cs="Arial"/>
          <w:szCs w:val="20"/>
        </w:rPr>
        <w:t xml:space="preserve">de pressurisation de bac sera considéré </w:t>
      </w:r>
      <w:r w:rsidR="00DD539E" w:rsidRPr="00DD539E">
        <w:rPr>
          <w:rFonts w:cs="Arial"/>
          <w:szCs w:val="20"/>
        </w:rPr>
        <w:t>comme physiquement impossible</w:t>
      </w:r>
      <w:r w:rsidR="00DD539E">
        <w:rPr>
          <w:rFonts w:cs="Arial"/>
          <w:szCs w:val="20"/>
        </w:rPr>
        <w:t>.</w:t>
      </w:r>
    </w:p>
    <w:p w14:paraId="17580CF7" w14:textId="32CCA341" w:rsidR="00214669" w:rsidRDefault="00214669" w:rsidP="00214669">
      <w:pPr>
        <w:pStyle w:val="Texte"/>
        <w:spacing w:before="200" w:after="0" w:line="276" w:lineRule="auto"/>
        <w:ind w:left="0"/>
        <w:rPr>
          <w:rFonts w:cs="Arial"/>
          <w:szCs w:val="20"/>
        </w:rPr>
      </w:pPr>
      <w:r>
        <w:rPr>
          <w:rFonts w:cs="Arial"/>
          <w:szCs w:val="20"/>
        </w:rPr>
        <w:t xml:space="preserve">ECOSLOPS </w:t>
      </w:r>
      <w:r w:rsidR="00862C5A">
        <w:rPr>
          <w:rFonts w:cs="Arial"/>
          <w:szCs w:val="20"/>
        </w:rPr>
        <w:t>confirme</w:t>
      </w:r>
      <w:bookmarkStart w:id="5" w:name="_GoBack"/>
      <w:bookmarkEnd w:id="5"/>
      <w:r>
        <w:rPr>
          <w:rFonts w:cs="Arial"/>
          <w:szCs w:val="20"/>
        </w:rPr>
        <w:t xml:space="preserve"> que le dimensionnement des évents des réservoirs de stockage sera réalisé conformément aux</w:t>
      </w:r>
      <w:r w:rsidRPr="00503FA8">
        <w:rPr>
          <w:rFonts w:cs="Arial"/>
          <w:szCs w:val="20"/>
        </w:rPr>
        <w:t xml:space="preserve"> formules de l’annexe 1 de l’arrêté du 3 octobre 2010</w:t>
      </w:r>
      <w:r>
        <w:rPr>
          <w:rFonts w:cs="Arial"/>
          <w:szCs w:val="20"/>
        </w:rPr>
        <w:t>. Ainsi, l</w:t>
      </w:r>
      <w:r w:rsidRPr="00503FA8">
        <w:rPr>
          <w:rFonts w:cs="Arial"/>
          <w:szCs w:val="20"/>
        </w:rPr>
        <w:t>e phénomène dangereux de pressurisation de bac sera considéré comme physiquement impossible</w:t>
      </w:r>
      <w:r>
        <w:rPr>
          <w:rFonts w:cs="Arial"/>
          <w:szCs w:val="20"/>
        </w:rPr>
        <w:t>, comme proposé dans la circulaire du 10 mai 2010.</w:t>
      </w:r>
    </w:p>
    <w:p w14:paraId="37C334FE" w14:textId="27F612D5" w:rsidR="00214669" w:rsidRDefault="00214669" w:rsidP="00214669">
      <w:pPr>
        <w:pStyle w:val="Texte"/>
        <w:spacing w:before="200" w:after="0" w:line="276" w:lineRule="auto"/>
        <w:ind w:left="0"/>
        <w:rPr>
          <w:rFonts w:cs="Arial"/>
          <w:szCs w:val="20"/>
        </w:rPr>
      </w:pPr>
      <w:r>
        <w:rPr>
          <w:rFonts w:cs="Arial"/>
          <w:szCs w:val="20"/>
        </w:rPr>
        <w:t>En conséquence, les scenarios correspondants de l’étude de danger et leurs cartographies associées sont à supprimer.</w:t>
      </w:r>
    </w:p>
    <w:p w14:paraId="3CEE486B" w14:textId="687985F0" w:rsidR="00D905C9" w:rsidRDefault="00D905C9">
      <w:pPr>
        <w:rPr>
          <w:rFonts w:ascii="Arial" w:hAnsi="Arial" w:cs="Arial"/>
          <w:b/>
          <w:i/>
        </w:rPr>
      </w:pPr>
    </w:p>
    <w:p w14:paraId="70E0EF52" w14:textId="7D262F37" w:rsidR="006C060B" w:rsidRPr="00C81C5E" w:rsidRDefault="006C060B" w:rsidP="00C81C5E">
      <w:pPr>
        <w:pBdr>
          <w:top w:val="single" w:sz="4" w:space="1" w:color="auto"/>
          <w:left w:val="single" w:sz="4" w:space="4" w:color="auto"/>
          <w:bottom w:val="single" w:sz="4" w:space="1" w:color="auto"/>
          <w:right w:val="single" w:sz="4" w:space="4" w:color="auto"/>
        </w:pBdr>
        <w:spacing w:before="200" w:line="276" w:lineRule="auto"/>
        <w:jc w:val="both"/>
        <w:rPr>
          <w:rFonts w:ascii="Arial" w:hAnsi="Arial" w:cs="Arial"/>
          <w:b/>
          <w:i/>
        </w:rPr>
      </w:pPr>
      <w:r w:rsidRPr="00C81C5E">
        <w:rPr>
          <w:rFonts w:ascii="Arial" w:hAnsi="Arial" w:cs="Arial"/>
          <w:b/>
          <w:i/>
        </w:rPr>
        <w:lastRenderedPageBreak/>
        <w:t>Recommandation 6 : Mettre en œuvre le programme de surveillance du compartiment atmosphérique prévu au niveau des riverains potentiellement les plus exposés et préciser les mesures d’évitement et de réduction qui seront pri</w:t>
      </w:r>
      <w:r w:rsidR="00C81C5E" w:rsidRPr="00C81C5E">
        <w:rPr>
          <w:rFonts w:ascii="Arial" w:hAnsi="Arial" w:cs="Arial"/>
          <w:b/>
          <w:i/>
        </w:rPr>
        <w:t>ses en cas de risque sanitaire</w:t>
      </w:r>
    </w:p>
    <w:p w14:paraId="004A03D2" w14:textId="3A3C5349" w:rsidR="006C060B" w:rsidRPr="006C060B" w:rsidRDefault="006C060B" w:rsidP="00C81C5E">
      <w:pPr>
        <w:spacing w:before="200" w:line="276" w:lineRule="auto"/>
        <w:jc w:val="both"/>
        <w:rPr>
          <w:rFonts w:ascii="Arial" w:hAnsi="Arial" w:cs="Arial"/>
        </w:rPr>
      </w:pPr>
      <w:r w:rsidRPr="006C060B">
        <w:rPr>
          <w:rFonts w:ascii="Arial" w:hAnsi="Arial" w:cs="Arial"/>
        </w:rPr>
        <w:t>Des campagnes de prélèvements d'air au voisinage seront effectivement réalisées avant et après l</w:t>
      </w:r>
      <w:r w:rsidR="00017B6E">
        <w:rPr>
          <w:rFonts w:ascii="Arial" w:hAnsi="Arial" w:cs="Arial"/>
        </w:rPr>
        <w:t>a première mise en service industrielle</w:t>
      </w:r>
      <w:r w:rsidR="00583FE0">
        <w:rPr>
          <w:rFonts w:ascii="Arial" w:hAnsi="Arial" w:cs="Arial"/>
        </w:rPr>
        <w:t xml:space="preserve"> </w:t>
      </w:r>
      <w:r w:rsidRPr="006C060B">
        <w:rPr>
          <w:rFonts w:ascii="Arial" w:hAnsi="Arial" w:cs="Arial"/>
        </w:rPr>
        <w:t>des installations d’ECOSLOPS. Ces campagnes permettront d’apprécier l’impact potentiel des émissions des installations d’ECOSLOPS sur le voisinage d</w:t>
      </w:r>
      <w:r w:rsidR="00C81C5E">
        <w:rPr>
          <w:rFonts w:ascii="Arial" w:hAnsi="Arial" w:cs="Arial"/>
        </w:rPr>
        <w:t>e la plateforme.</w:t>
      </w:r>
    </w:p>
    <w:p w14:paraId="3281397A" w14:textId="77777777" w:rsidR="006C060B" w:rsidRPr="006C060B" w:rsidRDefault="006C060B" w:rsidP="00C81C5E">
      <w:pPr>
        <w:spacing w:before="200" w:line="276" w:lineRule="auto"/>
        <w:jc w:val="both"/>
        <w:rPr>
          <w:rFonts w:ascii="Arial" w:hAnsi="Arial" w:cs="Arial"/>
        </w:rPr>
      </w:pPr>
      <w:r w:rsidRPr="006C060B">
        <w:rPr>
          <w:rFonts w:ascii="Arial" w:hAnsi="Arial" w:cs="Arial"/>
        </w:rPr>
        <w:t>Toutefois, il est rappelé que :</w:t>
      </w:r>
    </w:p>
    <w:p w14:paraId="2286BAEA" w14:textId="6D723492" w:rsidR="006C060B" w:rsidRPr="006C060B" w:rsidRDefault="006C060B" w:rsidP="00C81C5E">
      <w:pPr>
        <w:pStyle w:val="PuceNiveau1"/>
      </w:pPr>
      <w:r w:rsidRPr="006C060B">
        <w:t>les résultats de la modélisation de dispersion atmosphérique des futures émissions des installations ECOSLOPS ont montré une incidence faible à négligeable de ces émissions sur la qualité de l’air au niveau des récepteurs résidentiels localisés à l’extér</w:t>
      </w:r>
      <w:r w:rsidR="00C81C5E">
        <w:t>ieur de la plateforme (R1 à R7) ;</w:t>
      </w:r>
    </w:p>
    <w:p w14:paraId="25BD70B6" w14:textId="1C5CF8E1" w:rsidR="006C060B" w:rsidRPr="006C060B" w:rsidRDefault="006C060B" w:rsidP="00C81C5E">
      <w:pPr>
        <w:pStyle w:val="PuceNiveau1"/>
      </w:pPr>
      <w:r w:rsidRPr="006C060B">
        <w:t>les installations d’ECOSLOPS (</w:t>
      </w:r>
      <w:r w:rsidR="00AA1F87">
        <w:t xml:space="preserve">un four </w:t>
      </w:r>
      <w:r w:rsidR="00667CBD">
        <w:t xml:space="preserve">d’une puissance </w:t>
      </w:r>
      <w:r w:rsidRPr="006C060B">
        <w:t>&lt; </w:t>
      </w:r>
      <w:r w:rsidR="00667CBD">
        <w:t xml:space="preserve">à </w:t>
      </w:r>
      <w:r w:rsidR="00AA1F87">
        <w:t>2</w:t>
      </w:r>
      <w:r w:rsidR="00AA1F87" w:rsidRPr="006C060B">
        <w:t> </w:t>
      </w:r>
      <w:r w:rsidRPr="006C060B">
        <w:t>MW) ont une faible puissance par rapport à celles du reste de la plateforme </w:t>
      </w:r>
      <w:r w:rsidR="00C81C5E">
        <w:t>;</w:t>
      </w:r>
    </w:p>
    <w:p w14:paraId="6F99B774" w14:textId="2787E8D1" w:rsidR="006C060B" w:rsidRPr="006C060B" w:rsidRDefault="006C060B" w:rsidP="00C81C5E">
      <w:pPr>
        <w:pStyle w:val="PuceNiveau1"/>
      </w:pPr>
      <w:proofErr w:type="gramStart"/>
      <w:r w:rsidRPr="006C060B">
        <w:t>les</w:t>
      </w:r>
      <w:proofErr w:type="gramEnd"/>
      <w:r w:rsidRPr="006C060B">
        <w:t xml:space="preserve"> installations d’ECOSLOPS sur la plateforme sont localisées à plus de 300 m des limites de la plateforme et des récepteurs résidentiels les plus proches ;  </w:t>
      </w:r>
    </w:p>
    <w:p w14:paraId="771FC5F6" w14:textId="77777777" w:rsidR="006C060B" w:rsidRPr="006C060B" w:rsidRDefault="006C060B" w:rsidP="00C81C5E">
      <w:pPr>
        <w:pStyle w:val="PuceNiveau1"/>
      </w:pPr>
      <w:r w:rsidRPr="006C060B">
        <w:t>les installations projetées d’ECOSLOPS seront équipées de technologies récentes et pour lesquelles les fournisseurs garantissent en sortie de cheminée les niveaux d’émissions associées aux Meilleures Techniques Disponibles (NEA-MTD) du BREF Raffinage.</w:t>
      </w:r>
    </w:p>
    <w:p w14:paraId="18FA7311" w14:textId="51ADF0CC" w:rsidR="006C060B" w:rsidRPr="006C060B" w:rsidRDefault="006C060B" w:rsidP="00C81C5E">
      <w:pPr>
        <w:spacing w:before="200" w:line="276" w:lineRule="auto"/>
        <w:jc w:val="both"/>
        <w:rPr>
          <w:rFonts w:ascii="Arial" w:hAnsi="Arial" w:cs="Arial"/>
        </w:rPr>
      </w:pPr>
      <w:r w:rsidRPr="006C060B">
        <w:rPr>
          <w:rFonts w:ascii="Arial" w:hAnsi="Arial" w:cs="Arial"/>
        </w:rPr>
        <w:t xml:space="preserve">Par conséquent, il n’est à ce stade pas attendu que l’exploitation des résultats des prélèvements d’air ambiant envisagés mette en évidence un impact des émissions générées par ECOSLOPS sur la qualité de l’air. Néanmoins, dans le cas où les deux campagnes de prélèvement d’air montreraient un impact non négligeable des émissions des installations d’ECOSLOPS sur le voisinage de la plateforme, des campagnes de prélèvements d’air complémentaires pourront être réalisées et des mesures de réduction à la source seront alors </w:t>
      </w:r>
      <w:r w:rsidR="00583FE0">
        <w:rPr>
          <w:rFonts w:ascii="Arial" w:hAnsi="Arial" w:cs="Arial"/>
        </w:rPr>
        <w:t>recherchées</w:t>
      </w:r>
      <w:r w:rsidRPr="006C060B">
        <w:rPr>
          <w:rFonts w:ascii="Arial" w:hAnsi="Arial" w:cs="Arial"/>
        </w:rPr>
        <w:t xml:space="preserve">. </w:t>
      </w:r>
    </w:p>
    <w:p w14:paraId="5B1D2106" w14:textId="77777777" w:rsidR="006C060B" w:rsidRPr="006C060B" w:rsidRDefault="006C060B" w:rsidP="00C81C5E">
      <w:pPr>
        <w:spacing w:before="200"/>
        <w:jc w:val="both"/>
        <w:rPr>
          <w:rFonts w:ascii="Arial" w:hAnsi="Arial" w:cs="Arial"/>
        </w:rPr>
      </w:pPr>
    </w:p>
    <w:p w14:paraId="0788D8D2" w14:textId="08919233" w:rsidR="006C060B" w:rsidRPr="003A4F94" w:rsidRDefault="006C060B" w:rsidP="00C81C5E">
      <w:pPr>
        <w:pBdr>
          <w:top w:val="single" w:sz="4" w:space="1" w:color="auto"/>
          <w:left w:val="single" w:sz="4" w:space="4" w:color="auto"/>
          <w:bottom w:val="single" w:sz="4" w:space="1" w:color="auto"/>
          <w:right w:val="single" w:sz="4" w:space="4" w:color="auto"/>
        </w:pBdr>
        <w:spacing w:before="200"/>
        <w:jc w:val="both"/>
        <w:rPr>
          <w:rFonts w:ascii="Arial" w:hAnsi="Arial" w:cs="Arial"/>
          <w:b/>
          <w:i/>
        </w:rPr>
      </w:pPr>
      <w:r w:rsidRPr="003A4F94">
        <w:rPr>
          <w:rFonts w:ascii="Arial" w:hAnsi="Arial" w:cs="Arial"/>
          <w:b/>
          <w:i/>
        </w:rPr>
        <w:t xml:space="preserve">Recommandation 7 : Compléter l’étude par une quantification du risque sanitaire lié à l’ingestion éventuelle de HAP par les riverains en tenant compte de l’existence </w:t>
      </w:r>
      <w:r w:rsidR="003A4F94" w:rsidRPr="003A4F94">
        <w:rPr>
          <w:rFonts w:ascii="Arial" w:hAnsi="Arial" w:cs="Arial"/>
          <w:b/>
          <w:i/>
        </w:rPr>
        <w:t>éventuelle de jardins potagers</w:t>
      </w:r>
    </w:p>
    <w:p w14:paraId="27F2AA83" w14:textId="77777777" w:rsidR="006C060B" w:rsidRPr="006C060B" w:rsidRDefault="006C060B" w:rsidP="00C81C5E">
      <w:pPr>
        <w:spacing w:before="200" w:line="276" w:lineRule="auto"/>
        <w:jc w:val="both"/>
        <w:rPr>
          <w:rFonts w:ascii="Arial" w:hAnsi="Arial" w:cs="Arial"/>
        </w:rPr>
      </w:pPr>
      <w:r w:rsidRPr="006C060B">
        <w:rPr>
          <w:rFonts w:ascii="Arial" w:hAnsi="Arial" w:cs="Arial"/>
        </w:rPr>
        <w:t>Les substances susceptibles d’être émises à l’atmosphère par les installations envisagées par ECOSLOPS, sont les suivantes :</w:t>
      </w:r>
    </w:p>
    <w:p w14:paraId="23841C3D" w14:textId="77777777" w:rsidR="006C060B" w:rsidRPr="006C060B" w:rsidRDefault="006C060B" w:rsidP="003A4F94">
      <w:pPr>
        <w:pStyle w:val="PuceNiveau1"/>
      </w:pPr>
      <w:r w:rsidRPr="006C060B">
        <w:t>les oxydes d’azote (NO</w:t>
      </w:r>
      <w:r w:rsidRPr="006C060B">
        <w:rPr>
          <w:vertAlign w:val="subscript"/>
        </w:rPr>
        <w:t>X</w:t>
      </w:r>
      <w:r w:rsidRPr="006C060B">
        <w:t>) ;</w:t>
      </w:r>
    </w:p>
    <w:p w14:paraId="1E3C0FED" w14:textId="77777777" w:rsidR="006C060B" w:rsidRPr="006C060B" w:rsidRDefault="006C060B" w:rsidP="003A4F94">
      <w:pPr>
        <w:pStyle w:val="PuceNiveau1"/>
      </w:pPr>
      <w:r w:rsidRPr="006C060B">
        <w:t>le dioxyde de soufre (SO</w:t>
      </w:r>
      <w:r w:rsidRPr="006C060B">
        <w:rPr>
          <w:vertAlign w:val="subscript"/>
        </w:rPr>
        <w:t>2</w:t>
      </w:r>
      <w:r w:rsidRPr="006C060B">
        <w:t>) ;</w:t>
      </w:r>
    </w:p>
    <w:p w14:paraId="013BC0AE" w14:textId="77777777" w:rsidR="006C060B" w:rsidRPr="006C060B" w:rsidRDefault="006C060B" w:rsidP="003A4F94">
      <w:pPr>
        <w:pStyle w:val="PuceNiveau1"/>
      </w:pPr>
      <w:r w:rsidRPr="006C060B">
        <w:t>le monoxyde de carbone (CO) ;</w:t>
      </w:r>
    </w:p>
    <w:p w14:paraId="6C5B94EC" w14:textId="77777777" w:rsidR="006C060B" w:rsidRPr="006C060B" w:rsidRDefault="006C060B" w:rsidP="003A4F94">
      <w:pPr>
        <w:pStyle w:val="PuceNiveau1"/>
      </w:pPr>
      <w:r w:rsidRPr="006C060B">
        <w:t>les poussières ;</w:t>
      </w:r>
    </w:p>
    <w:p w14:paraId="106D070B" w14:textId="77777777" w:rsidR="006C060B" w:rsidRPr="006C060B" w:rsidRDefault="006C060B" w:rsidP="003A4F94">
      <w:pPr>
        <w:pStyle w:val="PuceNiveau1"/>
      </w:pPr>
      <w:r w:rsidRPr="006C060B">
        <w:t>les métaux (4 composés individualisés) ; et,</w:t>
      </w:r>
    </w:p>
    <w:p w14:paraId="41B3DFD4" w14:textId="77777777" w:rsidR="006C060B" w:rsidRPr="006C060B" w:rsidRDefault="006C060B" w:rsidP="003A4F94">
      <w:pPr>
        <w:pStyle w:val="PuceNiveau1"/>
      </w:pPr>
      <w:r w:rsidRPr="006C060B">
        <w:t>les composés organiques volatils (COV - 14 composés individualisés identifiés).</w:t>
      </w:r>
    </w:p>
    <w:p w14:paraId="2C9E8FA6" w14:textId="77777777" w:rsidR="006C060B" w:rsidRPr="006C060B" w:rsidRDefault="006C060B" w:rsidP="00C81C5E">
      <w:pPr>
        <w:spacing w:before="200" w:line="276" w:lineRule="auto"/>
        <w:jc w:val="both"/>
        <w:rPr>
          <w:rFonts w:ascii="Arial" w:hAnsi="Arial" w:cs="Arial"/>
        </w:rPr>
      </w:pPr>
      <w:r w:rsidRPr="006C060B">
        <w:rPr>
          <w:rFonts w:ascii="Arial" w:hAnsi="Arial" w:cs="Arial"/>
        </w:rPr>
        <w:t>Ainsi, les hydrocarbures aromatiques polycycliques (HAP) ne constituent pas des composés émis à l’atmosphère par les installations projetées par ECOSLOPS. Les émissions futures des installations d’ECOSLOPS n’auront, par conséquent, pas d’incidence sur les concentrations en HAP dans les sols et la réalisation de calculs de risques liés à une exposition par ingestion des HAP n’apparait pas justifiée.</w:t>
      </w:r>
    </w:p>
    <w:p w14:paraId="521DE1CB" w14:textId="77777777" w:rsidR="00D905C9" w:rsidRDefault="00D905C9">
      <w:pPr>
        <w:rPr>
          <w:rFonts w:ascii="Arial" w:hAnsi="Arial" w:cs="Arial"/>
        </w:rPr>
      </w:pPr>
      <w:r>
        <w:rPr>
          <w:rFonts w:ascii="Arial" w:hAnsi="Arial" w:cs="Arial"/>
        </w:rPr>
        <w:br w:type="page"/>
      </w:r>
    </w:p>
    <w:p w14:paraId="59F99FA8" w14:textId="35C49892" w:rsidR="006C060B" w:rsidRPr="006C060B" w:rsidRDefault="006C060B" w:rsidP="00C81C5E">
      <w:pPr>
        <w:spacing w:before="200" w:line="276" w:lineRule="auto"/>
        <w:jc w:val="both"/>
        <w:rPr>
          <w:rFonts w:ascii="Arial" w:hAnsi="Arial" w:cs="Arial"/>
        </w:rPr>
      </w:pPr>
      <w:r w:rsidRPr="006C060B">
        <w:rPr>
          <w:rFonts w:ascii="Arial" w:hAnsi="Arial" w:cs="Arial"/>
        </w:rPr>
        <w:lastRenderedPageBreak/>
        <w:t>En complément, il est à noter que les données actuelles de qualité des sols relatives aux HAP présentées correspondent à celles utilisées dans le cadre de l’évaluation de l’état initial des sols au voisinage de la plateforme (soit avant l’implantation du projet d’ECOSLOPS). Ces données disponibles relatives à la qualité des sols montraient, effectivement, la présence ponctuelle de quelques teneurs traces en HAP supérieures aux valeurs de bruit de fond en milieux rural et agricole proposées par l'ATSDR</w:t>
      </w:r>
      <w:r w:rsidRPr="006C060B">
        <w:rPr>
          <w:rStyle w:val="Appelnotedebasdep"/>
          <w:rFonts w:ascii="Arial" w:hAnsi="Arial" w:cs="Arial"/>
        </w:rPr>
        <w:footnoteReference w:id="1"/>
      </w:r>
      <w:r w:rsidRPr="006C060B">
        <w:rPr>
          <w:rFonts w:ascii="Arial" w:hAnsi="Arial" w:cs="Arial"/>
        </w:rPr>
        <w:t xml:space="preserve"> dans des zones périphériques au droit de de la plateforme. A ce titre, il est à noter que ces quelques dépassements ponctuels des valeurs de bruit de fond dans les sols ne sont pas localisés au droit de zones résidentielles. </w:t>
      </w:r>
    </w:p>
    <w:p w14:paraId="7CD0BC6B" w14:textId="77777777" w:rsidR="006C060B" w:rsidRPr="006C060B" w:rsidRDefault="006C060B" w:rsidP="00177F7F">
      <w:pPr>
        <w:spacing w:before="200" w:line="276" w:lineRule="auto"/>
        <w:jc w:val="both"/>
        <w:rPr>
          <w:rFonts w:ascii="Arial" w:hAnsi="Arial" w:cs="Arial"/>
        </w:rPr>
      </w:pPr>
    </w:p>
    <w:p w14:paraId="6ED943EA" w14:textId="77777777" w:rsidR="006C060B" w:rsidRPr="006C060B" w:rsidRDefault="006C060B" w:rsidP="00177F7F">
      <w:pPr>
        <w:spacing w:before="200" w:line="276" w:lineRule="auto"/>
        <w:jc w:val="both"/>
        <w:rPr>
          <w:rFonts w:ascii="Arial" w:hAnsi="Arial" w:cs="Arial"/>
        </w:rPr>
      </w:pPr>
    </w:p>
    <w:p w14:paraId="07F470C2" w14:textId="77777777" w:rsidR="001E2318" w:rsidRPr="006C060B" w:rsidRDefault="001E2318" w:rsidP="00177F7F">
      <w:pPr>
        <w:spacing w:before="200" w:line="276" w:lineRule="auto"/>
        <w:jc w:val="both"/>
        <w:rPr>
          <w:rFonts w:ascii="Arial" w:hAnsi="Arial" w:cs="Arial"/>
        </w:rPr>
        <w:sectPr w:rsidR="001E2318" w:rsidRPr="006C060B" w:rsidSect="00053B7D">
          <w:footerReference w:type="default" r:id="rId8"/>
          <w:headerReference w:type="first" r:id="rId9"/>
          <w:footerReference w:type="first" r:id="rId10"/>
          <w:pgSz w:w="11907" w:h="16840" w:code="9"/>
          <w:pgMar w:top="822" w:right="851" w:bottom="1276" w:left="851" w:header="425" w:footer="386" w:gutter="0"/>
          <w:cols w:space="720"/>
          <w:titlePg/>
          <w:docGrid w:linePitch="272"/>
        </w:sectPr>
      </w:pPr>
    </w:p>
    <w:p w14:paraId="47967F8B" w14:textId="5F6C10E5" w:rsidR="00F57D17" w:rsidRDefault="003A4F94" w:rsidP="003A4F94">
      <w:pPr>
        <w:spacing w:before="200" w:line="276" w:lineRule="auto"/>
        <w:jc w:val="right"/>
        <w:rPr>
          <w:rFonts w:ascii="Arial" w:hAnsi="Arial" w:cs="Arial"/>
          <w:b/>
          <w:sz w:val="28"/>
        </w:rPr>
      </w:pPr>
      <w:r w:rsidRPr="003A4F94">
        <w:rPr>
          <w:rFonts w:ascii="Arial" w:hAnsi="Arial" w:cs="Arial"/>
          <w:b/>
          <w:sz w:val="28"/>
        </w:rPr>
        <w:t>ANNEXE : FICHE</w:t>
      </w:r>
      <w:r w:rsidR="00D905C9">
        <w:rPr>
          <w:rFonts w:ascii="Arial" w:hAnsi="Arial" w:cs="Arial"/>
          <w:b/>
          <w:sz w:val="28"/>
        </w:rPr>
        <w:t>S DE</w:t>
      </w:r>
      <w:r w:rsidRPr="003A4F94">
        <w:rPr>
          <w:rFonts w:ascii="Arial" w:hAnsi="Arial" w:cs="Arial"/>
          <w:b/>
          <w:sz w:val="28"/>
        </w:rPr>
        <w:t xml:space="preserve"> MODELISATION ET CARTOGRAPHIES DES EFFETS</w:t>
      </w:r>
    </w:p>
    <w:p w14:paraId="4FD10D76" w14:textId="6DDC9D9B" w:rsidR="00D905C9" w:rsidRDefault="00D905C9" w:rsidP="00D905C9">
      <w:pPr>
        <w:spacing w:before="200" w:line="276" w:lineRule="auto"/>
        <w:jc w:val="right"/>
        <w:rPr>
          <w:rFonts w:ascii="Arial" w:hAnsi="Arial" w:cs="Arial"/>
        </w:rPr>
      </w:pPr>
      <w:r w:rsidRPr="00D905C9">
        <w:rPr>
          <w:rFonts w:ascii="Arial" w:hAnsi="Arial" w:cs="Arial"/>
        </w:rPr>
        <w:t>Dispersion d'un nuage inflammable sur l'unité P2R</w:t>
      </w:r>
      <w:r>
        <w:rPr>
          <w:rFonts w:ascii="Arial" w:hAnsi="Arial" w:cs="Arial"/>
        </w:rPr>
        <w:t xml:space="preserve"> (</w:t>
      </w:r>
      <w:r w:rsidRPr="00D905C9">
        <w:rPr>
          <w:rFonts w:ascii="Arial" w:hAnsi="Arial" w:cs="Arial"/>
        </w:rPr>
        <w:t>Perte de confinement</w:t>
      </w:r>
      <w:r>
        <w:rPr>
          <w:rFonts w:ascii="Arial" w:hAnsi="Arial" w:cs="Arial"/>
        </w:rPr>
        <w:t xml:space="preserve"> au niveau de l'unité Gas Plant)</w:t>
      </w:r>
    </w:p>
    <w:p w14:paraId="43974516" w14:textId="0DF3F570" w:rsidR="00D905C9" w:rsidRDefault="00D905C9" w:rsidP="00D905C9">
      <w:pPr>
        <w:spacing w:before="200" w:line="276" w:lineRule="auto"/>
        <w:jc w:val="right"/>
        <w:rPr>
          <w:rFonts w:ascii="Arial" w:hAnsi="Arial" w:cs="Arial"/>
        </w:rPr>
      </w:pPr>
      <w:r>
        <w:rPr>
          <w:rFonts w:ascii="Arial" w:hAnsi="Arial" w:cs="Arial"/>
        </w:rPr>
        <w:t>Explosion du four H3001</w:t>
      </w:r>
    </w:p>
    <w:p w14:paraId="1D42278C" w14:textId="45B45021" w:rsidR="00D905C9" w:rsidRPr="00D905C9" w:rsidRDefault="00877E79" w:rsidP="00D905C9">
      <w:pPr>
        <w:spacing w:before="200" w:line="276" w:lineRule="auto"/>
        <w:jc w:val="right"/>
        <w:rPr>
          <w:rFonts w:ascii="Arial" w:hAnsi="Arial" w:cs="Arial"/>
        </w:rPr>
      </w:pPr>
      <w:r w:rsidRPr="00877E79">
        <w:rPr>
          <w:rFonts w:ascii="Arial" w:hAnsi="Arial" w:cs="Arial"/>
        </w:rPr>
        <w:t>Rupture de tuyauterie entre les installations d’</w:t>
      </w:r>
      <w:proofErr w:type="spellStart"/>
      <w:r w:rsidRPr="00877E79">
        <w:rPr>
          <w:rFonts w:ascii="Arial" w:hAnsi="Arial" w:cs="Arial"/>
        </w:rPr>
        <w:t>Ecoslops</w:t>
      </w:r>
      <w:proofErr w:type="spellEnd"/>
      <w:r w:rsidRPr="00877E79">
        <w:rPr>
          <w:rFonts w:ascii="Arial" w:hAnsi="Arial" w:cs="Arial"/>
        </w:rPr>
        <w:t xml:space="preserve"> (stockages atmosphériques et unité P2R) et les postes de chargement/déchargement camions</w:t>
      </w:r>
    </w:p>
    <w:sectPr w:rsidR="00D905C9" w:rsidRPr="00D905C9" w:rsidSect="003A4F94">
      <w:footerReference w:type="default" r:id="rId11"/>
      <w:type w:val="continuous"/>
      <w:pgSz w:w="11907" w:h="16840" w:code="9"/>
      <w:pgMar w:top="822" w:right="851" w:bottom="1276" w:left="851" w:header="425" w:footer="386" w:gutter="0"/>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1CD49" w14:textId="77777777" w:rsidR="00DB68D9" w:rsidRDefault="00DB68D9">
      <w:r>
        <w:separator/>
      </w:r>
    </w:p>
  </w:endnote>
  <w:endnote w:type="continuationSeparator" w:id="0">
    <w:p w14:paraId="65D7DB55" w14:textId="77777777" w:rsidR="00DB68D9" w:rsidRDefault="00DB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lkCn BT">
    <w:panose1 w:val="020B08060305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06" w:type="dxa"/>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8931"/>
      <w:gridCol w:w="1275"/>
    </w:tblGrid>
    <w:tr w:rsidR="00A701CA" w:rsidRPr="00854D13" w14:paraId="21EF08B1" w14:textId="77777777" w:rsidTr="00A701CA">
      <w:tc>
        <w:tcPr>
          <w:tcW w:w="8931" w:type="dxa"/>
        </w:tcPr>
        <w:p w14:paraId="53800421" w14:textId="3900CB26" w:rsidR="00A701CA" w:rsidRPr="00854D13" w:rsidRDefault="00A701CA" w:rsidP="00D905C9">
          <w:pPr>
            <w:pStyle w:val="En-tte"/>
            <w:tabs>
              <w:tab w:val="clear" w:pos="4536"/>
              <w:tab w:val="clear" w:pos="9072"/>
              <w:tab w:val="left" w:pos="3960"/>
            </w:tabs>
            <w:spacing w:before="120"/>
            <w:rPr>
              <w:rFonts w:ascii="Arial" w:hAnsi="Arial" w:cs="Arial"/>
            </w:rPr>
          </w:pPr>
          <w:r w:rsidRPr="00854D13">
            <w:rPr>
              <w:rFonts w:ascii="Arial" w:hAnsi="Arial" w:cs="Arial"/>
            </w:rPr>
            <w:tab/>
            <w:t xml:space="preserve">N/Réf. : </w:t>
          </w:r>
          <w:r>
            <w:rPr>
              <w:rFonts w:ascii="Arial" w:hAnsi="Arial" w:cs="Arial"/>
              <w:caps/>
              <w:noProof/>
            </w:rPr>
            <w:t>AIX-</w:t>
          </w:r>
          <w:r w:rsidR="00D905C9">
            <w:rPr>
              <w:rFonts w:ascii="Arial" w:hAnsi="Arial" w:cs="Arial"/>
              <w:caps/>
              <w:noProof/>
            </w:rPr>
            <w:t>RAP</w:t>
          </w:r>
          <w:r>
            <w:rPr>
              <w:rFonts w:ascii="Arial" w:hAnsi="Arial" w:cs="Arial"/>
              <w:caps/>
              <w:noProof/>
            </w:rPr>
            <w:t>-</w:t>
          </w:r>
          <w:r w:rsidR="003A4F94">
            <w:rPr>
              <w:rFonts w:ascii="Arial" w:hAnsi="Arial" w:cs="Arial"/>
              <w:caps/>
              <w:noProof/>
            </w:rPr>
            <w:t>18</w:t>
          </w:r>
          <w:r>
            <w:rPr>
              <w:rFonts w:ascii="Arial" w:hAnsi="Arial" w:cs="Arial"/>
              <w:caps/>
              <w:noProof/>
            </w:rPr>
            <w:t>-</w:t>
          </w:r>
          <w:r w:rsidR="00D905C9">
            <w:rPr>
              <w:rFonts w:ascii="Arial" w:hAnsi="Arial" w:cs="Arial"/>
              <w:caps/>
              <w:noProof/>
            </w:rPr>
            <w:t>10446A</w:t>
          </w:r>
        </w:p>
      </w:tc>
      <w:tc>
        <w:tcPr>
          <w:tcW w:w="1275" w:type="dxa"/>
        </w:tcPr>
        <w:p w14:paraId="712B3722" w14:textId="77777777" w:rsidR="00A701CA" w:rsidRPr="00854D13" w:rsidRDefault="00A701CA" w:rsidP="00A701CA">
          <w:pPr>
            <w:pStyle w:val="En-tte"/>
            <w:tabs>
              <w:tab w:val="clear" w:pos="9072"/>
              <w:tab w:val="left" w:pos="1134"/>
              <w:tab w:val="left" w:pos="4536"/>
              <w:tab w:val="left" w:pos="7938"/>
            </w:tabs>
            <w:spacing w:before="120"/>
            <w:rPr>
              <w:rFonts w:ascii="Arial" w:hAnsi="Arial" w:cs="Arial"/>
            </w:rPr>
          </w:pPr>
          <w:r w:rsidRPr="00854D13">
            <w:rPr>
              <w:rFonts w:ascii="Arial" w:hAnsi="Arial" w:cs="Arial"/>
            </w:rPr>
            <w:t xml:space="preserve">Page </w:t>
          </w:r>
          <w:r w:rsidRPr="00854D13">
            <w:rPr>
              <w:rFonts w:ascii="Arial" w:hAnsi="Arial" w:cs="Arial"/>
            </w:rPr>
            <w:fldChar w:fldCharType="begin"/>
          </w:r>
          <w:r w:rsidRPr="00854D13">
            <w:rPr>
              <w:rFonts w:ascii="Arial" w:hAnsi="Arial" w:cs="Arial"/>
            </w:rPr>
            <w:instrText xml:space="preserve"> PAGE   \* MERGEFORMAT </w:instrText>
          </w:r>
          <w:r w:rsidRPr="00854D13">
            <w:rPr>
              <w:rFonts w:ascii="Arial" w:hAnsi="Arial" w:cs="Arial"/>
            </w:rPr>
            <w:fldChar w:fldCharType="separate"/>
          </w:r>
          <w:r w:rsidR="00B37298">
            <w:rPr>
              <w:rFonts w:ascii="Arial" w:hAnsi="Arial" w:cs="Arial"/>
              <w:noProof/>
            </w:rPr>
            <w:t>8</w:t>
          </w:r>
          <w:r w:rsidRPr="00854D13">
            <w:rPr>
              <w:rFonts w:ascii="Arial" w:hAnsi="Arial" w:cs="Arial"/>
            </w:rPr>
            <w:fldChar w:fldCharType="end"/>
          </w:r>
        </w:p>
      </w:tc>
    </w:tr>
  </w:tbl>
  <w:p w14:paraId="6A2D3328" w14:textId="77777777" w:rsidR="00A701CA" w:rsidRPr="00AF0162" w:rsidRDefault="00A701CA" w:rsidP="00AF0162">
    <w:pPr>
      <w:pStyle w:val="Pieddepage"/>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06" w:type="dxa"/>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8931"/>
      <w:gridCol w:w="1275"/>
    </w:tblGrid>
    <w:tr w:rsidR="00A701CA" w:rsidRPr="00854D13" w14:paraId="31D2B225" w14:textId="77777777" w:rsidTr="00A701CA">
      <w:tc>
        <w:tcPr>
          <w:tcW w:w="8931" w:type="dxa"/>
        </w:tcPr>
        <w:p w14:paraId="1B18EC8B" w14:textId="1E070CF4" w:rsidR="00A701CA" w:rsidRPr="00854D13" w:rsidRDefault="00A701CA" w:rsidP="003A4F94">
          <w:pPr>
            <w:pStyle w:val="En-tte"/>
            <w:tabs>
              <w:tab w:val="clear" w:pos="4536"/>
              <w:tab w:val="clear" w:pos="9072"/>
              <w:tab w:val="left" w:pos="3960"/>
            </w:tabs>
            <w:spacing w:before="120"/>
            <w:rPr>
              <w:rFonts w:ascii="Arial" w:hAnsi="Arial" w:cs="Arial"/>
            </w:rPr>
          </w:pPr>
          <w:r w:rsidRPr="00854D13">
            <w:rPr>
              <w:rFonts w:ascii="Arial" w:hAnsi="Arial" w:cs="Arial"/>
            </w:rPr>
            <w:tab/>
            <w:t xml:space="preserve">N/Réf. : </w:t>
          </w:r>
          <w:r w:rsidR="00D905C9">
            <w:rPr>
              <w:rFonts w:ascii="Arial" w:hAnsi="Arial" w:cs="Arial"/>
              <w:caps/>
              <w:noProof/>
            </w:rPr>
            <w:t>AIX-RAP-18-10446A</w:t>
          </w:r>
        </w:p>
      </w:tc>
      <w:tc>
        <w:tcPr>
          <w:tcW w:w="1275" w:type="dxa"/>
        </w:tcPr>
        <w:p w14:paraId="26374805" w14:textId="0B7CF3C2" w:rsidR="00A701CA" w:rsidRPr="00854D13" w:rsidRDefault="00A701CA" w:rsidP="00AF0162">
          <w:pPr>
            <w:pStyle w:val="En-tte"/>
            <w:tabs>
              <w:tab w:val="clear" w:pos="9072"/>
              <w:tab w:val="left" w:pos="1134"/>
              <w:tab w:val="left" w:pos="4536"/>
              <w:tab w:val="left" w:pos="7938"/>
            </w:tabs>
            <w:spacing w:before="120"/>
            <w:rPr>
              <w:rFonts w:ascii="Arial" w:hAnsi="Arial" w:cs="Arial"/>
            </w:rPr>
          </w:pPr>
          <w:r w:rsidRPr="00854D13">
            <w:rPr>
              <w:rFonts w:ascii="Arial" w:hAnsi="Arial" w:cs="Arial"/>
            </w:rPr>
            <w:t xml:space="preserve">Page </w:t>
          </w:r>
          <w:r w:rsidRPr="00854D13">
            <w:rPr>
              <w:rFonts w:ascii="Arial" w:hAnsi="Arial" w:cs="Arial"/>
            </w:rPr>
            <w:fldChar w:fldCharType="begin"/>
          </w:r>
          <w:r w:rsidRPr="00854D13">
            <w:rPr>
              <w:rFonts w:ascii="Arial" w:hAnsi="Arial" w:cs="Arial"/>
            </w:rPr>
            <w:instrText xml:space="preserve"> PAGE   \* MERGEFORMAT </w:instrText>
          </w:r>
          <w:r w:rsidRPr="00854D13">
            <w:rPr>
              <w:rFonts w:ascii="Arial" w:hAnsi="Arial" w:cs="Arial"/>
            </w:rPr>
            <w:fldChar w:fldCharType="separate"/>
          </w:r>
          <w:r w:rsidR="00B37298">
            <w:rPr>
              <w:rFonts w:ascii="Arial" w:hAnsi="Arial" w:cs="Arial"/>
              <w:noProof/>
            </w:rPr>
            <w:t>1</w:t>
          </w:r>
          <w:r w:rsidRPr="00854D13">
            <w:rPr>
              <w:rFonts w:ascii="Arial" w:hAnsi="Arial" w:cs="Arial"/>
            </w:rPr>
            <w:fldChar w:fldCharType="end"/>
          </w:r>
          <w:r>
            <w:rPr>
              <w:rFonts w:ascii="Arial" w:hAnsi="Arial" w:cs="Arial"/>
            </w:rPr>
            <w:t>/3</w:t>
          </w:r>
        </w:p>
      </w:tc>
    </w:tr>
  </w:tbl>
  <w:p w14:paraId="7B091678" w14:textId="77777777" w:rsidR="00A701CA" w:rsidRPr="00AF0162" w:rsidRDefault="00A701CA" w:rsidP="00AF0162">
    <w:pPr>
      <w:pStyle w:val="Pieddepage"/>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06" w:type="dxa"/>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8931"/>
      <w:gridCol w:w="1275"/>
    </w:tblGrid>
    <w:tr w:rsidR="00A701CA" w:rsidRPr="00854D13" w14:paraId="7E44B853" w14:textId="77777777" w:rsidTr="006840F6">
      <w:tc>
        <w:tcPr>
          <w:tcW w:w="8931" w:type="dxa"/>
        </w:tcPr>
        <w:p w14:paraId="6914BEB5" w14:textId="13432EEB" w:rsidR="00A701CA" w:rsidRPr="00854D13" w:rsidRDefault="00A701CA" w:rsidP="003A4F94">
          <w:pPr>
            <w:pStyle w:val="En-tte"/>
            <w:tabs>
              <w:tab w:val="clear" w:pos="4536"/>
              <w:tab w:val="clear" w:pos="9072"/>
              <w:tab w:val="left" w:pos="3960"/>
            </w:tabs>
            <w:spacing w:before="120"/>
            <w:rPr>
              <w:rFonts w:ascii="Arial" w:hAnsi="Arial" w:cs="Arial"/>
            </w:rPr>
          </w:pPr>
          <w:r w:rsidRPr="00854D13">
            <w:rPr>
              <w:rFonts w:ascii="Arial" w:hAnsi="Arial" w:cs="Arial"/>
            </w:rPr>
            <w:tab/>
            <w:t xml:space="preserve">N/Réf. : </w:t>
          </w:r>
          <w:r w:rsidR="00877E79" w:rsidRPr="00877E79">
            <w:rPr>
              <w:rFonts w:ascii="Arial" w:hAnsi="Arial" w:cs="Arial"/>
              <w:caps/>
              <w:noProof/>
            </w:rPr>
            <w:t>AIX-RAP-18-10446A</w:t>
          </w:r>
        </w:p>
      </w:tc>
      <w:tc>
        <w:tcPr>
          <w:tcW w:w="1275" w:type="dxa"/>
        </w:tcPr>
        <w:p w14:paraId="5BE51432" w14:textId="77777777" w:rsidR="00A701CA" w:rsidRPr="00854D13" w:rsidRDefault="00A701CA" w:rsidP="006840F6">
          <w:pPr>
            <w:pStyle w:val="En-tte"/>
            <w:tabs>
              <w:tab w:val="clear" w:pos="9072"/>
              <w:tab w:val="left" w:pos="1134"/>
              <w:tab w:val="left" w:pos="4536"/>
              <w:tab w:val="left" w:pos="7938"/>
            </w:tabs>
            <w:spacing w:before="120"/>
            <w:rPr>
              <w:rFonts w:ascii="Arial" w:hAnsi="Arial" w:cs="Arial"/>
            </w:rPr>
          </w:pPr>
        </w:p>
      </w:tc>
    </w:tr>
  </w:tbl>
  <w:p w14:paraId="2D603327" w14:textId="77777777" w:rsidR="00A701CA" w:rsidRPr="003A4F94" w:rsidRDefault="00A701CA" w:rsidP="003A4F94">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05CD" w14:textId="77777777" w:rsidR="00DB68D9" w:rsidRDefault="00DB68D9">
      <w:r>
        <w:separator/>
      </w:r>
    </w:p>
  </w:footnote>
  <w:footnote w:type="continuationSeparator" w:id="0">
    <w:p w14:paraId="5322980B" w14:textId="77777777" w:rsidR="00DB68D9" w:rsidRDefault="00DB68D9">
      <w:r>
        <w:continuationSeparator/>
      </w:r>
    </w:p>
  </w:footnote>
  <w:footnote w:id="1">
    <w:p w14:paraId="586ECD64" w14:textId="77777777" w:rsidR="006C060B" w:rsidRDefault="006C060B" w:rsidP="006C060B">
      <w:pPr>
        <w:pStyle w:val="Notedebasdepage"/>
        <w:spacing w:before="60"/>
        <w:rPr>
          <w:sz w:val="16"/>
          <w:szCs w:val="16"/>
          <w:lang w:val="en-GB"/>
        </w:rPr>
      </w:pPr>
      <w:r>
        <w:rPr>
          <w:rStyle w:val="Appelnotedebasdep"/>
          <w:sz w:val="16"/>
          <w:szCs w:val="16"/>
        </w:rPr>
        <w:footnoteRef/>
      </w:r>
      <w:r w:rsidRPr="00D905C9">
        <w:rPr>
          <w:sz w:val="16"/>
          <w:szCs w:val="16"/>
          <w:lang w:val="en-US"/>
        </w:rPr>
        <w:t xml:space="preserve"> Agency for Toxic Substances and Disease Registry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1ABE" w14:textId="77777777" w:rsidR="00A701CA" w:rsidRDefault="00A701CA">
    <w:pPr>
      <w:pStyle w:val="En-tte"/>
      <w:tabs>
        <w:tab w:val="clear" w:pos="9072"/>
      </w:tabs>
      <w:ind w:right="566"/>
      <w:rPr>
        <w:noProof/>
      </w:rPr>
    </w:pPr>
  </w:p>
  <w:p w14:paraId="19350D55" w14:textId="77777777" w:rsidR="00A701CA" w:rsidRDefault="00A701CA">
    <w:pPr>
      <w:pStyle w:val="En-tte"/>
      <w:tabs>
        <w:tab w:val="clear" w:pos="9072"/>
      </w:tabs>
      <w:ind w:left="7230" w:right="-568"/>
      <w:rPr>
        <w:sz w:val="18"/>
      </w:rPr>
    </w:pPr>
  </w:p>
  <w:p w14:paraId="234D2217" w14:textId="77777777" w:rsidR="00A701CA" w:rsidRDefault="00A701CA" w:rsidP="00DD593E">
    <w:pPr>
      <w:pStyle w:val="En-tte"/>
      <w:pBdr>
        <w:top w:val="single" w:sz="18" w:space="6" w:color="auto"/>
        <w:bottom w:val="single" w:sz="18" w:space="6" w:color="auto"/>
      </w:pBdr>
      <w:tabs>
        <w:tab w:val="clear" w:pos="9072"/>
        <w:tab w:val="left" w:pos="0"/>
      </w:tabs>
      <w:jc w:val="center"/>
      <w:rPr>
        <w:sz w:val="18"/>
      </w:rPr>
    </w:pPr>
    <w:r>
      <w:rPr>
        <w:rFonts w:ascii="Arial" w:hAnsi="Arial"/>
        <w:noProof/>
        <w:sz w:val="34"/>
      </w:rPr>
      <w:t>Note technique</w:t>
    </w:r>
  </w:p>
  <w:p w14:paraId="61218646" w14:textId="77777777" w:rsidR="00A701CA" w:rsidRDefault="00A701CA">
    <w:pPr>
      <w:pStyle w:val="En-tte"/>
      <w:tabs>
        <w:tab w:val="clear" w:pos="9072"/>
      </w:tabs>
      <w:ind w:left="7230" w:righ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B47356"/>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71C62118"/>
    <w:lvl w:ilvl="0">
      <w:start w:val="1"/>
      <w:numFmt w:val="decimal"/>
      <w:pStyle w:val="Listenumros2"/>
      <w:lvlText w:val="%1."/>
      <w:lvlJc w:val="left"/>
      <w:pPr>
        <w:tabs>
          <w:tab w:val="num" w:pos="643"/>
        </w:tabs>
        <w:ind w:left="643" w:hanging="360"/>
      </w:pPr>
    </w:lvl>
  </w:abstractNum>
  <w:abstractNum w:abstractNumId="2" w15:restartNumberingAfterBreak="0">
    <w:nsid w:val="FFFFFF88"/>
    <w:multiLevelType w:val="singleLevel"/>
    <w:tmpl w:val="3A2AD00A"/>
    <w:lvl w:ilvl="0">
      <w:start w:val="1"/>
      <w:numFmt w:val="decimal"/>
      <w:pStyle w:val="Listenumros"/>
      <w:lvlText w:val="%1."/>
      <w:lvlJc w:val="left"/>
      <w:pPr>
        <w:tabs>
          <w:tab w:val="num" w:pos="360"/>
        </w:tabs>
        <w:ind w:left="360" w:hanging="360"/>
      </w:pPr>
    </w:lvl>
  </w:abstractNum>
  <w:abstractNum w:abstractNumId="3" w15:restartNumberingAfterBreak="0">
    <w:nsid w:val="02772B57"/>
    <w:multiLevelType w:val="hybridMultilevel"/>
    <w:tmpl w:val="4F3E8210"/>
    <w:lvl w:ilvl="0" w:tplc="040C0019">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027A2F68"/>
    <w:multiLevelType w:val="hybridMultilevel"/>
    <w:tmpl w:val="D676EC2C"/>
    <w:lvl w:ilvl="0" w:tplc="C0C4AC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1A79AF"/>
    <w:multiLevelType w:val="hybridMultilevel"/>
    <w:tmpl w:val="14068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870A01"/>
    <w:multiLevelType w:val="hybridMultilevel"/>
    <w:tmpl w:val="076AEE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CA010B"/>
    <w:multiLevelType w:val="hybridMultilevel"/>
    <w:tmpl w:val="3C0AA7B2"/>
    <w:lvl w:ilvl="0" w:tplc="2A02DBF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000834"/>
    <w:multiLevelType w:val="hybridMultilevel"/>
    <w:tmpl w:val="C6DA2A14"/>
    <w:lvl w:ilvl="0" w:tplc="14C2A6F2">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2D3730"/>
    <w:multiLevelType w:val="hybridMultilevel"/>
    <w:tmpl w:val="DB4EC468"/>
    <w:lvl w:ilvl="0" w:tplc="60CE5A5E">
      <w:numFmt w:val="bullet"/>
      <w:pStyle w:val="PuceNiveau1"/>
      <w:lvlText w:val="•"/>
      <w:lvlJc w:val="left"/>
      <w:pPr>
        <w:ind w:left="1324" w:hanging="360"/>
      </w:pPr>
      <w:rPr>
        <w:rFonts w:ascii="Arial" w:hAnsi="Aria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EE253A"/>
    <w:multiLevelType w:val="hybridMultilevel"/>
    <w:tmpl w:val="AB4E7B38"/>
    <w:lvl w:ilvl="0" w:tplc="8BBAC9A0">
      <w:start w:val="2"/>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955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5D5089"/>
    <w:multiLevelType w:val="hybridMultilevel"/>
    <w:tmpl w:val="CBD41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6024D"/>
    <w:multiLevelType w:val="hybridMultilevel"/>
    <w:tmpl w:val="C06CA5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3062F2"/>
    <w:multiLevelType w:val="hybridMultilevel"/>
    <w:tmpl w:val="F592893A"/>
    <w:lvl w:ilvl="0" w:tplc="4192EA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4A3882"/>
    <w:multiLevelType w:val="hybridMultilevel"/>
    <w:tmpl w:val="3442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4A2A30"/>
    <w:multiLevelType w:val="hybridMultilevel"/>
    <w:tmpl w:val="0D32886C"/>
    <w:lvl w:ilvl="0" w:tplc="37E24D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42E5F"/>
    <w:multiLevelType w:val="hybridMultilevel"/>
    <w:tmpl w:val="ACF235C0"/>
    <w:lvl w:ilvl="0" w:tplc="47B2F15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9660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EF3C0C"/>
    <w:multiLevelType w:val="hybridMultilevel"/>
    <w:tmpl w:val="940E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870E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B000F1"/>
    <w:multiLevelType w:val="hybridMultilevel"/>
    <w:tmpl w:val="7D722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1C073D"/>
    <w:multiLevelType w:val="hybridMultilevel"/>
    <w:tmpl w:val="A6C8F0B6"/>
    <w:lvl w:ilvl="0" w:tplc="040C0001">
      <w:start w:val="1"/>
      <w:numFmt w:val="bullet"/>
      <w:lvlText w:val=""/>
      <w:lvlJc w:val="left"/>
      <w:pPr>
        <w:ind w:left="1684" w:hanging="360"/>
      </w:pPr>
      <w:rPr>
        <w:rFonts w:ascii="Symbol" w:hAnsi="Symbol" w:hint="default"/>
      </w:rPr>
    </w:lvl>
    <w:lvl w:ilvl="1" w:tplc="040C0003">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23" w15:restartNumberingAfterBreak="0">
    <w:nsid w:val="62103E15"/>
    <w:multiLevelType w:val="hybridMultilevel"/>
    <w:tmpl w:val="00C4B172"/>
    <w:lvl w:ilvl="0" w:tplc="DB0637CA">
      <w:start w:val="1"/>
      <w:numFmt w:val="bullet"/>
      <w:lvlText w:val=""/>
      <w:lvlJc w:val="left"/>
      <w:pPr>
        <w:ind w:left="1324" w:hanging="360"/>
      </w:pPr>
      <w:rPr>
        <w:rFonts w:ascii="Symbol" w:hAnsi="Symbo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A52C1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240588"/>
    <w:multiLevelType w:val="hybridMultilevel"/>
    <w:tmpl w:val="2F285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E240D8B"/>
    <w:multiLevelType w:val="hybridMultilevel"/>
    <w:tmpl w:val="20965F2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F1D5E15"/>
    <w:multiLevelType w:val="hybridMultilevel"/>
    <w:tmpl w:val="0CFC9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24"/>
  </w:num>
  <w:num w:numId="5">
    <w:abstractNumId w:val="11"/>
  </w:num>
  <w:num w:numId="6">
    <w:abstractNumId w:val="21"/>
  </w:num>
  <w:num w:numId="7">
    <w:abstractNumId w:val="12"/>
  </w:num>
  <w:num w:numId="8">
    <w:abstractNumId w:val="18"/>
  </w:num>
  <w:num w:numId="9">
    <w:abstractNumId w:val="6"/>
  </w:num>
  <w:num w:numId="10">
    <w:abstractNumId w:val="20"/>
  </w:num>
  <w:num w:numId="11">
    <w:abstractNumId w:val="7"/>
  </w:num>
  <w:num w:numId="12">
    <w:abstractNumId w:val="25"/>
  </w:num>
  <w:num w:numId="13">
    <w:abstractNumId w:val="15"/>
  </w:num>
  <w:num w:numId="14">
    <w:abstractNumId w:val="17"/>
  </w:num>
  <w:num w:numId="15">
    <w:abstractNumId w:val="27"/>
  </w:num>
  <w:num w:numId="16">
    <w:abstractNumId w:val="5"/>
  </w:num>
  <w:num w:numId="17">
    <w:abstractNumId w:val="23"/>
  </w:num>
  <w:num w:numId="18">
    <w:abstractNumId w:val="26"/>
  </w:num>
  <w:num w:numId="19">
    <w:abstractNumId w:val="3"/>
  </w:num>
  <w:num w:numId="20">
    <w:abstractNumId w:val="22"/>
  </w:num>
  <w:num w:numId="21">
    <w:abstractNumId w:val="9"/>
  </w:num>
  <w:num w:numId="22">
    <w:abstractNumId w:val="10"/>
  </w:num>
  <w:num w:numId="23">
    <w:abstractNumId w:val="8"/>
  </w:num>
  <w:num w:numId="24">
    <w:abstractNumId w:val="2"/>
  </w:num>
  <w:num w:numId="25">
    <w:abstractNumId w:val="1"/>
  </w:num>
  <w:num w:numId="26">
    <w:abstractNumId w:val="0"/>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_Action" w:val=" "/>
    <w:docVar w:name="Var_Date" w:val=" "/>
    <w:docVar w:name="Var_Emetteur" w:val=" "/>
    <w:docVar w:name="Var_Information" w:val=" "/>
    <w:docVar w:name="Var_Ouvert" w:val="0"/>
    <w:docVar w:name="Var_Projet" w:val=" "/>
    <w:docVar w:name="Var_Référence" w:val=" "/>
    <w:docVar w:name="Var_Sujet" w:val=" "/>
  </w:docVars>
  <w:rsids>
    <w:rsidRoot w:val="00573BC9"/>
    <w:rsid w:val="000034C8"/>
    <w:rsid w:val="00003F41"/>
    <w:rsid w:val="00017B6E"/>
    <w:rsid w:val="00024361"/>
    <w:rsid w:val="00041816"/>
    <w:rsid w:val="00053B7D"/>
    <w:rsid w:val="000639A9"/>
    <w:rsid w:val="00067249"/>
    <w:rsid w:val="00075AB0"/>
    <w:rsid w:val="00083F87"/>
    <w:rsid w:val="00085ADA"/>
    <w:rsid w:val="00092AD2"/>
    <w:rsid w:val="00095AE7"/>
    <w:rsid w:val="000A25FC"/>
    <w:rsid w:val="000A2EB6"/>
    <w:rsid w:val="000C0231"/>
    <w:rsid w:val="000C5592"/>
    <w:rsid w:val="000F32F8"/>
    <w:rsid w:val="0010775C"/>
    <w:rsid w:val="001079E8"/>
    <w:rsid w:val="00110151"/>
    <w:rsid w:val="00112076"/>
    <w:rsid w:val="00113BBB"/>
    <w:rsid w:val="0011690A"/>
    <w:rsid w:val="00116B8D"/>
    <w:rsid w:val="00117CD5"/>
    <w:rsid w:val="00133B7A"/>
    <w:rsid w:val="00153CD0"/>
    <w:rsid w:val="001644B3"/>
    <w:rsid w:val="0017395E"/>
    <w:rsid w:val="00177A22"/>
    <w:rsid w:val="00177F7F"/>
    <w:rsid w:val="00190926"/>
    <w:rsid w:val="001A5C5F"/>
    <w:rsid w:val="001B00A9"/>
    <w:rsid w:val="001D7ED0"/>
    <w:rsid w:val="001E157A"/>
    <w:rsid w:val="001E2318"/>
    <w:rsid w:val="001F7D41"/>
    <w:rsid w:val="00214669"/>
    <w:rsid w:val="00230A9D"/>
    <w:rsid w:val="0023281E"/>
    <w:rsid w:val="00236A7A"/>
    <w:rsid w:val="00236E16"/>
    <w:rsid w:val="00242DED"/>
    <w:rsid w:val="00272977"/>
    <w:rsid w:val="0027421F"/>
    <w:rsid w:val="00292B73"/>
    <w:rsid w:val="00293FC2"/>
    <w:rsid w:val="00295C94"/>
    <w:rsid w:val="002A17D1"/>
    <w:rsid w:val="002A5A44"/>
    <w:rsid w:val="002A5EA5"/>
    <w:rsid w:val="002B050C"/>
    <w:rsid w:val="002B53C5"/>
    <w:rsid w:val="002B7D28"/>
    <w:rsid w:val="002C7DBA"/>
    <w:rsid w:val="002E559B"/>
    <w:rsid w:val="002F0256"/>
    <w:rsid w:val="002F32E9"/>
    <w:rsid w:val="002F4209"/>
    <w:rsid w:val="0032733A"/>
    <w:rsid w:val="00330ABD"/>
    <w:rsid w:val="003348C7"/>
    <w:rsid w:val="00352E69"/>
    <w:rsid w:val="00362E21"/>
    <w:rsid w:val="00365E57"/>
    <w:rsid w:val="00367394"/>
    <w:rsid w:val="003746BA"/>
    <w:rsid w:val="003768FF"/>
    <w:rsid w:val="00394183"/>
    <w:rsid w:val="003A4F94"/>
    <w:rsid w:val="003A538D"/>
    <w:rsid w:val="003D444B"/>
    <w:rsid w:val="003D7159"/>
    <w:rsid w:val="003E0822"/>
    <w:rsid w:val="003E140B"/>
    <w:rsid w:val="003E1603"/>
    <w:rsid w:val="003F0EEA"/>
    <w:rsid w:val="0040418E"/>
    <w:rsid w:val="0041024E"/>
    <w:rsid w:val="00414FFE"/>
    <w:rsid w:val="00426A41"/>
    <w:rsid w:val="00427959"/>
    <w:rsid w:val="0043512B"/>
    <w:rsid w:val="00460F2D"/>
    <w:rsid w:val="00462E4B"/>
    <w:rsid w:val="00470AFD"/>
    <w:rsid w:val="00472D84"/>
    <w:rsid w:val="0048615C"/>
    <w:rsid w:val="004A1B33"/>
    <w:rsid w:val="004A2455"/>
    <w:rsid w:val="004A4A9A"/>
    <w:rsid w:val="004B6A2F"/>
    <w:rsid w:val="004C0840"/>
    <w:rsid w:val="004D1E6A"/>
    <w:rsid w:val="004D4619"/>
    <w:rsid w:val="004D4822"/>
    <w:rsid w:val="004D52DD"/>
    <w:rsid w:val="004E5C32"/>
    <w:rsid w:val="004F32B1"/>
    <w:rsid w:val="00515194"/>
    <w:rsid w:val="00516849"/>
    <w:rsid w:val="0053336F"/>
    <w:rsid w:val="00534D3C"/>
    <w:rsid w:val="005425BA"/>
    <w:rsid w:val="005553C7"/>
    <w:rsid w:val="00573BC9"/>
    <w:rsid w:val="00583FE0"/>
    <w:rsid w:val="005849B1"/>
    <w:rsid w:val="005B128D"/>
    <w:rsid w:val="005B5D29"/>
    <w:rsid w:val="005E5AD3"/>
    <w:rsid w:val="005F0E1B"/>
    <w:rsid w:val="0060365B"/>
    <w:rsid w:val="00614670"/>
    <w:rsid w:val="0063073E"/>
    <w:rsid w:val="00636C10"/>
    <w:rsid w:val="006439A5"/>
    <w:rsid w:val="00645845"/>
    <w:rsid w:val="006517C6"/>
    <w:rsid w:val="00652340"/>
    <w:rsid w:val="006554D2"/>
    <w:rsid w:val="00657880"/>
    <w:rsid w:val="00667CBD"/>
    <w:rsid w:val="0067183D"/>
    <w:rsid w:val="006736CB"/>
    <w:rsid w:val="006836C5"/>
    <w:rsid w:val="006840F6"/>
    <w:rsid w:val="006842DA"/>
    <w:rsid w:val="00695CFD"/>
    <w:rsid w:val="006A1343"/>
    <w:rsid w:val="006B0E9B"/>
    <w:rsid w:val="006C060B"/>
    <w:rsid w:val="006C48C5"/>
    <w:rsid w:val="006D500B"/>
    <w:rsid w:val="006D7AE9"/>
    <w:rsid w:val="006F2351"/>
    <w:rsid w:val="006F370B"/>
    <w:rsid w:val="006F3AC4"/>
    <w:rsid w:val="00705075"/>
    <w:rsid w:val="007105C5"/>
    <w:rsid w:val="0073170E"/>
    <w:rsid w:val="0074794D"/>
    <w:rsid w:val="0076690A"/>
    <w:rsid w:val="00772F78"/>
    <w:rsid w:val="00776637"/>
    <w:rsid w:val="00780740"/>
    <w:rsid w:val="007822EA"/>
    <w:rsid w:val="00784E49"/>
    <w:rsid w:val="0079450A"/>
    <w:rsid w:val="007A11F6"/>
    <w:rsid w:val="007B3100"/>
    <w:rsid w:val="007C2182"/>
    <w:rsid w:val="007C4F13"/>
    <w:rsid w:val="007C5C80"/>
    <w:rsid w:val="007C642B"/>
    <w:rsid w:val="007C7505"/>
    <w:rsid w:val="007E2985"/>
    <w:rsid w:val="007F132F"/>
    <w:rsid w:val="008148DF"/>
    <w:rsid w:val="00834D01"/>
    <w:rsid w:val="00835BD6"/>
    <w:rsid w:val="0084119D"/>
    <w:rsid w:val="00844F3F"/>
    <w:rsid w:val="00855122"/>
    <w:rsid w:val="00862C5A"/>
    <w:rsid w:val="008632E8"/>
    <w:rsid w:val="00867947"/>
    <w:rsid w:val="0087346D"/>
    <w:rsid w:val="00874710"/>
    <w:rsid w:val="00877E79"/>
    <w:rsid w:val="00881448"/>
    <w:rsid w:val="0089075A"/>
    <w:rsid w:val="00890B74"/>
    <w:rsid w:val="0089317A"/>
    <w:rsid w:val="0089628F"/>
    <w:rsid w:val="008A2DFB"/>
    <w:rsid w:val="008A6298"/>
    <w:rsid w:val="008B475D"/>
    <w:rsid w:val="008B762A"/>
    <w:rsid w:val="008D00AC"/>
    <w:rsid w:val="008D6C91"/>
    <w:rsid w:val="008E012D"/>
    <w:rsid w:val="008E317F"/>
    <w:rsid w:val="008E41B7"/>
    <w:rsid w:val="00900D63"/>
    <w:rsid w:val="009101A9"/>
    <w:rsid w:val="0093096D"/>
    <w:rsid w:val="00940F1F"/>
    <w:rsid w:val="0094337B"/>
    <w:rsid w:val="00950F90"/>
    <w:rsid w:val="00954D39"/>
    <w:rsid w:val="0097254A"/>
    <w:rsid w:val="00972D2B"/>
    <w:rsid w:val="00994FE9"/>
    <w:rsid w:val="00996C7E"/>
    <w:rsid w:val="00997ADD"/>
    <w:rsid w:val="009A367F"/>
    <w:rsid w:val="009A3890"/>
    <w:rsid w:val="009A4887"/>
    <w:rsid w:val="009B7438"/>
    <w:rsid w:val="009C7C70"/>
    <w:rsid w:val="009D51E2"/>
    <w:rsid w:val="009D6C9E"/>
    <w:rsid w:val="009E2C17"/>
    <w:rsid w:val="009F08AA"/>
    <w:rsid w:val="00A00989"/>
    <w:rsid w:val="00A13FEF"/>
    <w:rsid w:val="00A37C01"/>
    <w:rsid w:val="00A50250"/>
    <w:rsid w:val="00A55F74"/>
    <w:rsid w:val="00A62611"/>
    <w:rsid w:val="00A701CA"/>
    <w:rsid w:val="00A83186"/>
    <w:rsid w:val="00A831A1"/>
    <w:rsid w:val="00A95B31"/>
    <w:rsid w:val="00AA1F87"/>
    <w:rsid w:val="00AA7E0B"/>
    <w:rsid w:val="00AB2071"/>
    <w:rsid w:val="00AB7F28"/>
    <w:rsid w:val="00AC698D"/>
    <w:rsid w:val="00AE2C92"/>
    <w:rsid w:val="00AE6A95"/>
    <w:rsid w:val="00AF0162"/>
    <w:rsid w:val="00AF21A3"/>
    <w:rsid w:val="00AF763A"/>
    <w:rsid w:val="00B10B92"/>
    <w:rsid w:val="00B13521"/>
    <w:rsid w:val="00B17615"/>
    <w:rsid w:val="00B21F2E"/>
    <w:rsid w:val="00B3377A"/>
    <w:rsid w:val="00B36538"/>
    <w:rsid w:val="00B36963"/>
    <w:rsid w:val="00B37298"/>
    <w:rsid w:val="00B51CF7"/>
    <w:rsid w:val="00B542D7"/>
    <w:rsid w:val="00B54494"/>
    <w:rsid w:val="00B54C85"/>
    <w:rsid w:val="00B73388"/>
    <w:rsid w:val="00B7630C"/>
    <w:rsid w:val="00B82280"/>
    <w:rsid w:val="00B8268F"/>
    <w:rsid w:val="00B96878"/>
    <w:rsid w:val="00BA7D32"/>
    <w:rsid w:val="00BB5E5F"/>
    <w:rsid w:val="00BE254F"/>
    <w:rsid w:val="00BE3C8E"/>
    <w:rsid w:val="00BF5574"/>
    <w:rsid w:val="00BF5643"/>
    <w:rsid w:val="00C17C5A"/>
    <w:rsid w:val="00C336FA"/>
    <w:rsid w:val="00C4059B"/>
    <w:rsid w:val="00C53A33"/>
    <w:rsid w:val="00C81C5E"/>
    <w:rsid w:val="00C976B3"/>
    <w:rsid w:val="00CB17AB"/>
    <w:rsid w:val="00CC5228"/>
    <w:rsid w:val="00CD57B6"/>
    <w:rsid w:val="00CE3BA3"/>
    <w:rsid w:val="00CF5C49"/>
    <w:rsid w:val="00CF7739"/>
    <w:rsid w:val="00D0322B"/>
    <w:rsid w:val="00D12D15"/>
    <w:rsid w:val="00D20870"/>
    <w:rsid w:val="00D25321"/>
    <w:rsid w:val="00D42657"/>
    <w:rsid w:val="00D46441"/>
    <w:rsid w:val="00D64E5B"/>
    <w:rsid w:val="00D7094A"/>
    <w:rsid w:val="00D730AB"/>
    <w:rsid w:val="00D74CE4"/>
    <w:rsid w:val="00D905C9"/>
    <w:rsid w:val="00DA3FCE"/>
    <w:rsid w:val="00DB68D9"/>
    <w:rsid w:val="00DC7E8D"/>
    <w:rsid w:val="00DD539E"/>
    <w:rsid w:val="00DD593E"/>
    <w:rsid w:val="00DD75B7"/>
    <w:rsid w:val="00DF42CE"/>
    <w:rsid w:val="00DF6722"/>
    <w:rsid w:val="00DF7086"/>
    <w:rsid w:val="00E01BDA"/>
    <w:rsid w:val="00E02413"/>
    <w:rsid w:val="00E0593D"/>
    <w:rsid w:val="00E13CE0"/>
    <w:rsid w:val="00E15FD6"/>
    <w:rsid w:val="00E31D80"/>
    <w:rsid w:val="00E36683"/>
    <w:rsid w:val="00E60981"/>
    <w:rsid w:val="00E86E3D"/>
    <w:rsid w:val="00EA07B5"/>
    <w:rsid w:val="00EC07C4"/>
    <w:rsid w:val="00EE2EC6"/>
    <w:rsid w:val="00EE7658"/>
    <w:rsid w:val="00EF09CE"/>
    <w:rsid w:val="00F075BE"/>
    <w:rsid w:val="00F473A4"/>
    <w:rsid w:val="00F476A8"/>
    <w:rsid w:val="00F5000B"/>
    <w:rsid w:val="00F53BDD"/>
    <w:rsid w:val="00F57D17"/>
    <w:rsid w:val="00F802D4"/>
    <w:rsid w:val="00F819E8"/>
    <w:rsid w:val="00F92361"/>
    <w:rsid w:val="00FA2C1D"/>
    <w:rsid w:val="00FA659E"/>
    <w:rsid w:val="00FA77AD"/>
    <w:rsid w:val="00FB3651"/>
    <w:rsid w:val="00FB64F6"/>
    <w:rsid w:val="00FC0F70"/>
    <w:rsid w:val="00FC2BC2"/>
    <w:rsid w:val="00FC5582"/>
    <w:rsid w:val="00FD163E"/>
    <w:rsid w:val="00FD4388"/>
    <w:rsid w:val="00FE5A0B"/>
    <w:rsid w:val="00FF2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A9D6B"/>
  <w15:docId w15:val="{11435F1E-31C9-4E7D-8497-C993148D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5">
    <w:name w:val="heading 5"/>
    <w:basedOn w:val="Normal"/>
    <w:next w:val="Normal"/>
    <w:qFormat/>
    <w:pPr>
      <w:keepNext/>
      <w:jc w:val="both"/>
      <w:outlineLvl w:val="4"/>
    </w:pPr>
    <w:rPr>
      <w:rFonts w:ascii="Swis721 BlkCn BT" w:hAnsi="Swis721 BlkCn BT"/>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4">
    <w:name w:val="Title 4"/>
    <w:basedOn w:val="Titre1"/>
    <w:pPr>
      <w:keepNext w:val="0"/>
      <w:tabs>
        <w:tab w:val="left" w:pos="560"/>
        <w:tab w:val="left" w:pos="1120"/>
        <w:tab w:val="left" w:pos="1720"/>
        <w:tab w:val="left" w:pos="2260"/>
      </w:tabs>
      <w:spacing w:before="0" w:after="0" w:line="360" w:lineRule="auto"/>
      <w:ind w:left="1134"/>
      <w:outlineLvl w:val="9"/>
    </w:pPr>
    <w:rPr>
      <w:rFonts w:ascii="Times New Roman" w:hAnsi="Times New Roman"/>
      <w:color w:val="0000FF"/>
      <w:kern w:val="0"/>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normalRetrait1">
    <w:name w:val="Retrait normal.Retrait 1"/>
    <w:basedOn w:val="Normal"/>
    <w:pPr>
      <w:ind w:left="709" w:hanging="142"/>
      <w:jc w:val="both"/>
    </w:pPr>
    <w:rPr>
      <w:sz w:val="24"/>
    </w:rPr>
  </w:style>
  <w:style w:type="paragraph" w:styleId="Retraitnormal">
    <w:name w:val="Normal Indent"/>
    <w:aliases w:val="Retrait 1"/>
    <w:basedOn w:val="Normal"/>
    <w:pPr>
      <w:ind w:left="709" w:hanging="142"/>
      <w:jc w:val="both"/>
    </w:pPr>
    <w:rPr>
      <w:sz w:val="24"/>
    </w:rPr>
  </w:style>
  <w:style w:type="paragraph" w:customStyle="1" w:styleId="Adresse">
    <w:name w:val="Adresse"/>
    <w:basedOn w:val="Normal"/>
    <w:pPr>
      <w:ind w:left="4536"/>
    </w:pPr>
    <w:rPr>
      <w:b/>
      <w:sz w:val="24"/>
    </w:rPr>
  </w:style>
  <w:style w:type="paragraph" w:styleId="Corpsdetexte">
    <w:name w:val="Body Text"/>
    <w:basedOn w:val="Normal"/>
    <w:pPr>
      <w:spacing w:line="360" w:lineRule="atLeast"/>
      <w:jc w:val="both"/>
    </w:pPr>
    <w:rPr>
      <w:sz w:val="24"/>
    </w:rPr>
  </w:style>
  <w:style w:type="table" w:styleId="Grilledutableau">
    <w:name w:val="Table Grid"/>
    <w:basedOn w:val="TableauNormal"/>
    <w:uiPriority w:val="59"/>
    <w:rsid w:val="00AC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2D15"/>
    <w:pPr>
      <w:ind w:left="720"/>
      <w:contextualSpacing/>
    </w:pPr>
  </w:style>
  <w:style w:type="paragraph" w:styleId="Textedebulles">
    <w:name w:val="Balloon Text"/>
    <w:basedOn w:val="Normal"/>
    <w:link w:val="TextedebullesCar"/>
    <w:uiPriority w:val="99"/>
    <w:semiHidden/>
    <w:unhideWhenUsed/>
    <w:rsid w:val="00426A41"/>
    <w:rPr>
      <w:rFonts w:ascii="Tahoma" w:hAnsi="Tahoma" w:cs="Tahoma"/>
      <w:sz w:val="16"/>
      <w:szCs w:val="16"/>
    </w:rPr>
  </w:style>
  <w:style w:type="character" w:customStyle="1" w:styleId="TextedebullesCar">
    <w:name w:val="Texte de bulles Car"/>
    <w:basedOn w:val="Policepardfaut"/>
    <w:link w:val="Textedebulles"/>
    <w:uiPriority w:val="99"/>
    <w:semiHidden/>
    <w:rsid w:val="00426A41"/>
    <w:rPr>
      <w:rFonts w:ascii="Tahoma" w:hAnsi="Tahoma" w:cs="Tahoma"/>
      <w:sz w:val="16"/>
      <w:szCs w:val="16"/>
    </w:rPr>
  </w:style>
  <w:style w:type="paragraph" w:styleId="Lgende">
    <w:name w:val="caption"/>
    <w:basedOn w:val="Normal"/>
    <w:next w:val="Normal"/>
    <w:uiPriority w:val="35"/>
    <w:unhideWhenUsed/>
    <w:qFormat/>
    <w:rsid w:val="008D00AC"/>
    <w:pPr>
      <w:spacing w:after="200"/>
    </w:pPr>
    <w:rPr>
      <w:b/>
      <w:bCs/>
      <w:color w:val="4F81BD" w:themeColor="accent1"/>
      <w:sz w:val="18"/>
      <w:szCs w:val="18"/>
    </w:rPr>
  </w:style>
  <w:style w:type="paragraph" w:styleId="Notedebasdepage">
    <w:name w:val="footnote text"/>
    <w:aliases w:val="Note de bas de pages"/>
    <w:basedOn w:val="Normal"/>
    <w:link w:val="NotedebasdepageCar"/>
    <w:uiPriority w:val="99"/>
    <w:unhideWhenUsed/>
    <w:rsid w:val="0010775C"/>
  </w:style>
  <w:style w:type="character" w:customStyle="1" w:styleId="NotedebasdepageCar">
    <w:name w:val="Note de bas de page Car"/>
    <w:aliases w:val="Note de bas de pages Car"/>
    <w:basedOn w:val="Policepardfaut"/>
    <w:link w:val="Notedebasdepage"/>
    <w:uiPriority w:val="99"/>
    <w:rsid w:val="0010775C"/>
  </w:style>
  <w:style w:type="character" w:styleId="Appelnotedebasdep">
    <w:name w:val="footnote reference"/>
    <w:basedOn w:val="Policepardfaut"/>
    <w:uiPriority w:val="99"/>
    <w:unhideWhenUsed/>
    <w:rsid w:val="0010775C"/>
    <w:rPr>
      <w:vertAlign w:val="superscript"/>
    </w:rPr>
  </w:style>
  <w:style w:type="character" w:styleId="Lienhypertexte">
    <w:name w:val="Hyperlink"/>
    <w:basedOn w:val="Policepardfaut"/>
    <w:uiPriority w:val="99"/>
    <w:unhideWhenUsed/>
    <w:rsid w:val="00B36963"/>
    <w:rPr>
      <w:color w:val="0000FF" w:themeColor="hyperlink"/>
      <w:u w:val="single"/>
    </w:rPr>
  </w:style>
  <w:style w:type="paragraph" w:customStyle="1" w:styleId="Texte">
    <w:name w:val="Texte"/>
    <w:basedOn w:val="Normal"/>
    <w:link w:val="TexteCar1"/>
    <w:uiPriority w:val="99"/>
    <w:qFormat/>
    <w:rsid w:val="008E012D"/>
    <w:pPr>
      <w:spacing w:after="200" w:line="288" w:lineRule="auto"/>
      <w:ind w:left="1134"/>
      <w:jc w:val="both"/>
    </w:pPr>
    <w:rPr>
      <w:rFonts w:ascii="Arial" w:hAnsi="Arial"/>
      <w:szCs w:val="24"/>
    </w:rPr>
  </w:style>
  <w:style w:type="character" w:customStyle="1" w:styleId="TexteCar1">
    <w:name w:val="Texte Car1"/>
    <w:link w:val="Texte"/>
    <w:uiPriority w:val="99"/>
    <w:rsid w:val="008E012D"/>
    <w:rPr>
      <w:rFonts w:ascii="Arial" w:hAnsi="Arial"/>
      <w:szCs w:val="24"/>
    </w:rPr>
  </w:style>
  <w:style w:type="character" w:styleId="Marquedecommentaire">
    <w:name w:val="annotation reference"/>
    <w:basedOn w:val="Policepardfaut"/>
    <w:uiPriority w:val="99"/>
    <w:semiHidden/>
    <w:unhideWhenUsed/>
    <w:rsid w:val="00B10B92"/>
    <w:rPr>
      <w:sz w:val="16"/>
      <w:szCs w:val="16"/>
    </w:rPr>
  </w:style>
  <w:style w:type="paragraph" w:styleId="Commentaire">
    <w:name w:val="annotation text"/>
    <w:basedOn w:val="Normal"/>
    <w:link w:val="CommentaireCar"/>
    <w:uiPriority w:val="99"/>
    <w:semiHidden/>
    <w:unhideWhenUsed/>
    <w:rsid w:val="00B10B92"/>
  </w:style>
  <w:style w:type="character" w:customStyle="1" w:styleId="CommentaireCar">
    <w:name w:val="Commentaire Car"/>
    <w:basedOn w:val="Policepardfaut"/>
    <w:link w:val="Commentaire"/>
    <w:uiPriority w:val="99"/>
    <w:semiHidden/>
    <w:rsid w:val="00B10B92"/>
  </w:style>
  <w:style w:type="paragraph" w:styleId="Objetducommentaire">
    <w:name w:val="annotation subject"/>
    <w:basedOn w:val="Commentaire"/>
    <w:next w:val="Commentaire"/>
    <w:link w:val="ObjetducommentaireCar"/>
    <w:uiPriority w:val="99"/>
    <w:semiHidden/>
    <w:unhideWhenUsed/>
    <w:rsid w:val="00B10B92"/>
    <w:rPr>
      <w:b/>
      <w:bCs/>
    </w:rPr>
  </w:style>
  <w:style w:type="character" w:customStyle="1" w:styleId="ObjetducommentaireCar">
    <w:name w:val="Objet du commentaire Car"/>
    <w:basedOn w:val="CommentaireCar"/>
    <w:link w:val="Objetducommentaire"/>
    <w:uiPriority w:val="99"/>
    <w:semiHidden/>
    <w:rsid w:val="00B10B92"/>
    <w:rPr>
      <w:b/>
      <w:bCs/>
    </w:rPr>
  </w:style>
  <w:style w:type="paragraph" w:styleId="Rvision">
    <w:name w:val="Revision"/>
    <w:hidden/>
    <w:uiPriority w:val="99"/>
    <w:semiHidden/>
    <w:rsid w:val="006840F6"/>
  </w:style>
  <w:style w:type="paragraph" w:customStyle="1" w:styleId="TexteCarCar">
    <w:name w:val="Texte Car Car"/>
    <w:basedOn w:val="Normal"/>
    <w:link w:val="TexteCarCarCar1"/>
    <w:rsid w:val="006840F6"/>
    <w:pPr>
      <w:widowControl w:val="0"/>
      <w:adjustRightInd w:val="0"/>
      <w:spacing w:after="200" w:line="288" w:lineRule="auto"/>
      <w:ind w:left="1134"/>
      <w:jc w:val="both"/>
      <w:textAlignment w:val="baseline"/>
    </w:pPr>
    <w:rPr>
      <w:rFonts w:ascii="Arial" w:hAnsi="Arial"/>
      <w:szCs w:val="24"/>
    </w:rPr>
  </w:style>
  <w:style w:type="character" w:customStyle="1" w:styleId="TexteCarCarCar1">
    <w:name w:val="Texte Car Car Car1"/>
    <w:link w:val="TexteCarCar"/>
    <w:rsid w:val="006840F6"/>
    <w:rPr>
      <w:rFonts w:ascii="Arial" w:hAnsi="Arial"/>
      <w:szCs w:val="24"/>
    </w:rPr>
  </w:style>
  <w:style w:type="character" w:customStyle="1" w:styleId="st1">
    <w:name w:val="st1"/>
    <w:basedOn w:val="Policepardfaut"/>
    <w:rsid w:val="00236A7A"/>
  </w:style>
  <w:style w:type="paragraph" w:customStyle="1" w:styleId="PuceNiveau1">
    <w:name w:val="Puce Niveau 1"/>
    <w:basedOn w:val="Texte"/>
    <w:link w:val="PuceNiveau1Car"/>
    <w:qFormat/>
    <w:rsid w:val="00AB2071"/>
    <w:pPr>
      <w:numPr>
        <w:numId w:val="21"/>
      </w:numPr>
      <w:tabs>
        <w:tab w:val="left" w:pos="284"/>
      </w:tabs>
      <w:spacing w:before="200" w:after="0" w:line="276" w:lineRule="auto"/>
      <w:ind w:left="284" w:hanging="284"/>
    </w:pPr>
  </w:style>
  <w:style w:type="character" w:customStyle="1" w:styleId="PuceNiveau1Car">
    <w:name w:val="Puce Niveau 1 Car"/>
    <w:link w:val="PuceNiveau1"/>
    <w:rsid w:val="00AB2071"/>
    <w:rPr>
      <w:rFonts w:ascii="Arial" w:hAnsi="Arial"/>
      <w:szCs w:val="24"/>
    </w:rPr>
  </w:style>
  <w:style w:type="character" w:customStyle="1" w:styleId="Puceniveau1Car0">
    <w:name w:val="Puce niveau 1 Car"/>
    <w:link w:val="Puceniveau10"/>
    <w:locked/>
    <w:rsid w:val="006C060B"/>
    <w:rPr>
      <w:rFonts w:ascii="Arial" w:hAnsi="Arial" w:cs="Arial"/>
      <w:lang w:val="x-none" w:eastAsia="x-none"/>
    </w:rPr>
  </w:style>
  <w:style w:type="paragraph" w:customStyle="1" w:styleId="Puceniveau10">
    <w:name w:val="Puce niveau 1"/>
    <w:basedOn w:val="Normal"/>
    <w:link w:val="Puceniveau1Car0"/>
    <w:qFormat/>
    <w:rsid w:val="006C060B"/>
    <w:pPr>
      <w:tabs>
        <w:tab w:val="left" w:pos="1588"/>
      </w:tabs>
      <w:spacing w:after="200" w:line="288" w:lineRule="auto"/>
      <w:jc w:val="both"/>
    </w:pPr>
    <w:rPr>
      <w:rFonts w:ascii="Arial" w:hAnsi="Arial" w:cs="Arial"/>
      <w:lang w:val="x-none" w:eastAsia="x-none"/>
    </w:rPr>
  </w:style>
  <w:style w:type="paragraph" w:styleId="Listenumros">
    <w:name w:val="List Number"/>
    <w:basedOn w:val="Normal"/>
    <w:uiPriority w:val="99"/>
    <w:unhideWhenUsed/>
    <w:rsid w:val="00A83186"/>
    <w:pPr>
      <w:numPr>
        <w:numId w:val="24"/>
      </w:numPr>
      <w:contextualSpacing/>
    </w:pPr>
  </w:style>
  <w:style w:type="paragraph" w:styleId="Listenumros2">
    <w:name w:val="List Number 2"/>
    <w:basedOn w:val="Normal"/>
    <w:uiPriority w:val="99"/>
    <w:unhideWhenUsed/>
    <w:rsid w:val="00A83186"/>
    <w:pPr>
      <w:numPr>
        <w:numId w:val="25"/>
      </w:numPr>
      <w:contextualSpacing/>
    </w:pPr>
  </w:style>
  <w:style w:type="paragraph" w:styleId="Listenumros3">
    <w:name w:val="List Number 3"/>
    <w:basedOn w:val="Normal"/>
    <w:uiPriority w:val="99"/>
    <w:unhideWhenUsed/>
    <w:rsid w:val="00A83186"/>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2123">
      <w:bodyDiv w:val="1"/>
      <w:marLeft w:val="0"/>
      <w:marRight w:val="0"/>
      <w:marTop w:val="0"/>
      <w:marBottom w:val="0"/>
      <w:divBdr>
        <w:top w:val="none" w:sz="0" w:space="0" w:color="auto"/>
        <w:left w:val="none" w:sz="0" w:space="0" w:color="auto"/>
        <w:bottom w:val="none" w:sz="0" w:space="0" w:color="auto"/>
        <w:right w:val="none" w:sz="0" w:space="0" w:color="auto"/>
      </w:divBdr>
    </w:div>
    <w:div w:id="257446292">
      <w:bodyDiv w:val="1"/>
      <w:marLeft w:val="0"/>
      <w:marRight w:val="0"/>
      <w:marTop w:val="0"/>
      <w:marBottom w:val="0"/>
      <w:divBdr>
        <w:top w:val="none" w:sz="0" w:space="0" w:color="auto"/>
        <w:left w:val="none" w:sz="0" w:space="0" w:color="auto"/>
        <w:bottom w:val="none" w:sz="0" w:space="0" w:color="auto"/>
        <w:right w:val="none" w:sz="0" w:space="0" w:color="auto"/>
      </w:divBdr>
    </w:div>
    <w:div w:id="367877323">
      <w:bodyDiv w:val="1"/>
      <w:marLeft w:val="0"/>
      <w:marRight w:val="0"/>
      <w:marTop w:val="0"/>
      <w:marBottom w:val="0"/>
      <w:divBdr>
        <w:top w:val="none" w:sz="0" w:space="0" w:color="auto"/>
        <w:left w:val="none" w:sz="0" w:space="0" w:color="auto"/>
        <w:bottom w:val="none" w:sz="0" w:space="0" w:color="auto"/>
        <w:right w:val="none" w:sz="0" w:space="0" w:color="auto"/>
      </w:divBdr>
    </w:div>
    <w:div w:id="415444211">
      <w:bodyDiv w:val="1"/>
      <w:marLeft w:val="0"/>
      <w:marRight w:val="0"/>
      <w:marTop w:val="0"/>
      <w:marBottom w:val="0"/>
      <w:divBdr>
        <w:top w:val="none" w:sz="0" w:space="0" w:color="auto"/>
        <w:left w:val="none" w:sz="0" w:space="0" w:color="auto"/>
        <w:bottom w:val="none" w:sz="0" w:space="0" w:color="auto"/>
        <w:right w:val="none" w:sz="0" w:space="0" w:color="auto"/>
      </w:divBdr>
    </w:div>
    <w:div w:id="449396927">
      <w:bodyDiv w:val="1"/>
      <w:marLeft w:val="0"/>
      <w:marRight w:val="0"/>
      <w:marTop w:val="0"/>
      <w:marBottom w:val="0"/>
      <w:divBdr>
        <w:top w:val="none" w:sz="0" w:space="0" w:color="auto"/>
        <w:left w:val="none" w:sz="0" w:space="0" w:color="auto"/>
        <w:bottom w:val="none" w:sz="0" w:space="0" w:color="auto"/>
        <w:right w:val="none" w:sz="0" w:space="0" w:color="auto"/>
      </w:divBdr>
    </w:div>
    <w:div w:id="613053857">
      <w:bodyDiv w:val="1"/>
      <w:marLeft w:val="0"/>
      <w:marRight w:val="0"/>
      <w:marTop w:val="0"/>
      <w:marBottom w:val="0"/>
      <w:divBdr>
        <w:top w:val="none" w:sz="0" w:space="0" w:color="auto"/>
        <w:left w:val="none" w:sz="0" w:space="0" w:color="auto"/>
        <w:bottom w:val="none" w:sz="0" w:space="0" w:color="auto"/>
        <w:right w:val="none" w:sz="0" w:space="0" w:color="auto"/>
      </w:divBdr>
    </w:div>
    <w:div w:id="625543135">
      <w:bodyDiv w:val="1"/>
      <w:marLeft w:val="0"/>
      <w:marRight w:val="0"/>
      <w:marTop w:val="0"/>
      <w:marBottom w:val="0"/>
      <w:divBdr>
        <w:top w:val="none" w:sz="0" w:space="0" w:color="auto"/>
        <w:left w:val="none" w:sz="0" w:space="0" w:color="auto"/>
        <w:bottom w:val="none" w:sz="0" w:space="0" w:color="auto"/>
        <w:right w:val="none" w:sz="0" w:space="0" w:color="auto"/>
      </w:divBdr>
    </w:div>
    <w:div w:id="1670403716">
      <w:bodyDiv w:val="1"/>
      <w:marLeft w:val="0"/>
      <w:marRight w:val="0"/>
      <w:marTop w:val="0"/>
      <w:marBottom w:val="0"/>
      <w:divBdr>
        <w:top w:val="none" w:sz="0" w:space="0" w:color="auto"/>
        <w:left w:val="none" w:sz="0" w:space="0" w:color="auto"/>
        <w:bottom w:val="none" w:sz="0" w:space="0" w:color="auto"/>
        <w:right w:val="none" w:sz="0" w:space="0" w:color="auto"/>
      </w:divBdr>
    </w:div>
    <w:div w:id="1722559609">
      <w:bodyDiv w:val="1"/>
      <w:marLeft w:val="0"/>
      <w:marRight w:val="0"/>
      <w:marTop w:val="0"/>
      <w:marBottom w:val="0"/>
      <w:divBdr>
        <w:top w:val="none" w:sz="0" w:space="0" w:color="auto"/>
        <w:left w:val="none" w:sz="0" w:space="0" w:color="auto"/>
        <w:bottom w:val="none" w:sz="0" w:space="0" w:color="auto"/>
        <w:right w:val="none" w:sz="0" w:space="0" w:color="auto"/>
      </w:divBdr>
    </w:div>
    <w:div w:id="1787582498">
      <w:bodyDiv w:val="1"/>
      <w:marLeft w:val="0"/>
      <w:marRight w:val="0"/>
      <w:marTop w:val="0"/>
      <w:marBottom w:val="0"/>
      <w:divBdr>
        <w:top w:val="none" w:sz="0" w:space="0" w:color="auto"/>
        <w:left w:val="none" w:sz="0" w:space="0" w:color="auto"/>
        <w:bottom w:val="none" w:sz="0" w:space="0" w:color="auto"/>
        <w:right w:val="none" w:sz="0" w:space="0" w:color="auto"/>
      </w:divBdr>
    </w:div>
    <w:div w:id="2021159459">
      <w:bodyDiv w:val="1"/>
      <w:marLeft w:val="0"/>
      <w:marRight w:val="0"/>
      <w:marTop w:val="0"/>
      <w:marBottom w:val="0"/>
      <w:divBdr>
        <w:top w:val="none" w:sz="0" w:space="0" w:color="auto"/>
        <w:left w:val="none" w:sz="0" w:space="0" w:color="auto"/>
        <w:bottom w:val="none" w:sz="0" w:space="0" w:color="auto"/>
        <w:right w:val="none" w:sz="0" w:space="0" w:color="auto"/>
      </w:divBdr>
    </w:div>
    <w:div w:id="20422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7594-7988-4BCA-8760-0C09A816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17483</Characters>
  <Application>Microsoft Office Word</Application>
  <DocSecurity>4</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IM 2003</vt:lpstr>
      <vt:lpstr>IM 2003</vt:lpstr>
    </vt:vector>
  </TitlesOfParts>
  <Company>OSI</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2003</dc:title>
  <dc:subject>OBJET DU MEMO</dc:subject>
  <dc:creator>Sonia_Berard</dc:creator>
  <cp:lastModifiedBy>Antoine Fauquembergue</cp:lastModifiedBy>
  <cp:revision>2</cp:revision>
  <cp:lastPrinted>2018-04-27T09:01:00Z</cp:lastPrinted>
  <dcterms:created xsi:type="dcterms:W3CDTF">2018-05-11T15:34:00Z</dcterms:created>
  <dcterms:modified xsi:type="dcterms:W3CDTF">2018-05-11T15:34:00Z</dcterms:modified>
</cp:coreProperties>
</file>